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42BFE" w14:textId="4138B044" w:rsidR="0027351B" w:rsidRPr="00986244" w:rsidRDefault="003E6FC0" w:rsidP="00986244">
      <w:pPr>
        <w:spacing w:after="0"/>
        <w:jc w:val="center"/>
        <w:rPr>
          <w:rFonts w:cstheme="minorHAnsi"/>
          <w:b/>
          <w:sz w:val="24"/>
        </w:rPr>
      </w:pPr>
      <w:r w:rsidRPr="00986244">
        <w:rPr>
          <w:rFonts w:cstheme="minorHAnsi"/>
          <w:b/>
          <w:sz w:val="24"/>
        </w:rPr>
        <w:t xml:space="preserve">Language for Describing the District </w:t>
      </w:r>
      <w:r w:rsidR="00F913D4">
        <w:rPr>
          <w:rFonts w:cstheme="minorHAnsi"/>
          <w:b/>
          <w:sz w:val="24"/>
        </w:rPr>
        <w:t>Local Control and Accountability Plan (</w:t>
      </w:r>
      <w:r w:rsidRPr="00986244">
        <w:rPr>
          <w:rFonts w:cstheme="minorHAnsi"/>
          <w:b/>
          <w:sz w:val="24"/>
        </w:rPr>
        <w:t>LCAP</w:t>
      </w:r>
      <w:r w:rsidR="00F913D4">
        <w:rPr>
          <w:rFonts w:cstheme="minorHAnsi"/>
          <w:b/>
          <w:sz w:val="24"/>
        </w:rPr>
        <w:t>)</w:t>
      </w:r>
      <w:r w:rsidR="00986244" w:rsidRPr="00986244">
        <w:rPr>
          <w:rFonts w:cstheme="minorHAnsi"/>
          <w:b/>
          <w:sz w:val="24"/>
        </w:rPr>
        <w:t xml:space="preserve"> in the Self-Study Report</w:t>
      </w:r>
    </w:p>
    <w:p w14:paraId="16488837" w14:textId="77777777" w:rsidR="0027351B" w:rsidRDefault="0027351B" w:rsidP="009E1C4A">
      <w:pPr>
        <w:spacing w:after="0"/>
        <w:rPr>
          <w:rFonts w:cstheme="minorHAnsi"/>
        </w:rPr>
      </w:pPr>
    </w:p>
    <w:p w14:paraId="779E70C1" w14:textId="0175AA02" w:rsidR="0027351B" w:rsidRPr="00687549" w:rsidRDefault="00A420C9" w:rsidP="009E1C4A">
      <w:pPr>
        <w:spacing w:after="0"/>
      </w:pPr>
      <w:r>
        <w:rPr>
          <w:rFonts w:cstheme="minorHAnsi"/>
        </w:rPr>
        <w:t>Included in this document</w:t>
      </w:r>
      <w:r w:rsidR="0027351B">
        <w:rPr>
          <w:rFonts w:cstheme="minorHAnsi"/>
        </w:rPr>
        <w:t xml:space="preserve"> is language that may be used to describe the District </w:t>
      </w:r>
      <w:r w:rsidR="0027351B" w:rsidRPr="0027351B">
        <w:rPr>
          <w:rFonts w:cstheme="minorHAnsi"/>
        </w:rPr>
        <w:t xml:space="preserve">Local </w:t>
      </w:r>
      <w:r w:rsidR="0027351B">
        <w:rPr>
          <w:rFonts w:cstheme="minorHAnsi"/>
        </w:rPr>
        <w:t xml:space="preserve">Control and Accountability Plan (LCAP) in the </w:t>
      </w:r>
      <w:r w:rsidR="00DE2C7F">
        <w:rPr>
          <w:rFonts w:cstheme="minorHAnsi"/>
        </w:rPr>
        <w:t>Accrediting Commission for Schools and Colleges (</w:t>
      </w:r>
      <w:r w:rsidR="0027351B" w:rsidRPr="0027351B">
        <w:rPr>
          <w:rFonts w:cstheme="minorHAnsi"/>
        </w:rPr>
        <w:t>ACS WASC</w:t>
      </w:r>
      <w:r w:rsidR="00DE2C7F">
        <w:rPr>
          <w:rFonts w:cstheme="minorHAnsi"/>
        </w:rPr>
        <w:t>)</w:t>
      </w:r>
      <w:r w:rsidR="0027351B" w:rsidRPr="0027351B">
        <w:rPr>
          <w:rFonts w:cstheme="minorHAnsi"/>
        </w:rPr>
        <w:t>/</w:t>
      </w:r>
      <w:r w:rsidR="00DE2C7F">
        <w:rPr>
          <w:rFonts w:cstheme="minorHAnsi"/>
        </w:rPr>
        <w:t>California Department of Education (</w:t>
      </w:r>
      <w:r w:rsidR="0027351B" w:rsidRPr="0027351B">
        <w:rPr>
          <w:rFonts w:cstheme="minorHAnsi"/>
        </w:rPr>
        <w:t>CDE</w:t>
      </w:r>
      <w:r w:rsidR="00DE2C7F">
        <w:rPr>
          <w:rFonts w:cstheme="minorHAnsi"/>
        </w:rPr>
        <w:t>)</w:t>
      </w:r>
      <w:r w:rsidR="0027351B" w:rsidRPr="0027351B">
        <w:rPr>
          <w:rFonts w:cstheme="minorHAnsi"/>
        </w:rPr>
        <w:t xml:space="preserve"> </w:t>
      </w:r>
      <w:r w:rsidR="00515233" w:rsidRPr="00515233">
        <w:rPr>
          <w:rFonts w:cstheme="minorHAnsi"/>
          <w:b/>
          <w:bCs/>
        </w:rPr>
        <w:t>Student/Community Profile Guide</w:t>
      </w:r>
      <w:r w:rsidR="0027351B">
        <w:rPr>
          <w:rFonts w:cstheme="minorHAnsi"/>
        </w:rPr>
        <w:t xml:space="preserve"> portion of the</w:t>
      </w:r>
      <w:r w:rsidR="008F2EF7">
        <w:rPr>
          <w:rFonts w:cstheme="minorHAnsi"/>
        </w:rPr>
        <w:t xml:space="preserve"> self-</w:t>
      </w:r>
      <w:r w:rsidR="008F2EF7" w:rsidRPr="00515233">
        <w:rPr>
          <w:rFonts w:cstheme="minorHAnsi"/>
          <w:color w:val="000000" w:themeColor="text1"/>
        </w:rPr>
        <w:t>s</w:t>
      </w:r>
      <w:r w:rsidR="009449C9" w:rsidRPr="00515233">
        <w:rPr>
          <w:rFonts w:cstheme="minorHAnsi"/>
          <w:color w:val="000000" w:themeColor="text1"/>
        </w:rPr>
        <w:t>tudy</w:t>
      </w:r>
      <w:r w:rsidR="0027351B" w:rsidRPr="00515233">
        <w:rPr>
          <w:rFonts w:cstheme="minorHAnsi"/>
          <w:color w:val="000000" w:themeColor="text1"/>
        </w:rPr>
        <w:t xml:space="preserve"> report</w:t>
      </w:r>
      <w:r w:rsidR="007E27F1" w:rsidRPr="00515233">
        <w:rPr>
          <w:rFonts w:cstheme="minorHAnsi"/>
          <w:color w:val="000000" w:themeColor="text1"/>
        </w:rPr>
        <w:t xml:space="preserve">. </w:t>
      </w:r>
      <w:r w:rsidR="00340315" w:rsidRPr="00515233">
        <w:rPr>
          <w:rFonts w:cstheme="minorHAnsi"/>
          <w:color w:val="000000" w:themeColor="text1"/>
        </w:rPr>
        <w:t>(</w:t>
      </w:r>
      <w:r w:rsidR="007E27F1" w:rsidRPr="00515233">
        <w:rPr>
          <w:rFonts w:cstheme="minorHAnsi"/>
          <w:color w:val="000000" w:themeColor="text1"/>
        </w:rPr>
        <w:t xml:space="preserve">See </w:t>
      </w:r>
      <w:r w:rsidR="00340315" w:rsidRPr="00515233">
        <w:rPr>
          <w:rFonts w:cstheme="minorHAnsi"/>
          <w:color w:val="000000" w:themeColor="text1"/>
        </w:rPr>
        <w:t>Focus on Learning manual</w:t>
      </w:r>
      <w:r w:rsidR="007E27F1" w:rsidRPr="00515233">
        <w:rPr>
          <w:rFonts w:cstheme="minorHAnsi"/>
          <w:color w:val="000000" w:themeColor="text1"/>
        </w:rPr>
        <w:t>, page 51</w:t>
      </w:r>
      <w:r w:rsidR="0027351B" w:rsidRPr="00515233">
        <w:rPr>
          <w:rFonts w:cstheme="minorHAnsi"/>
          <w:color w:val="000000" w:themeColor="text1"/>
        </w:rPr>
        <w:t>.</w:t>
      </w:r>
      <w:r w:rsidR="00340315" w:rsidRPr="00515233">
        <w:rPr>
          <w:rFonts w:cstheme="minorHAnsi"/>
          <w:color w:val="000000" w:themeColor="text1"/>
        </w:rPr>
        <w:t>)</w:t>
      </w:r>
      <w:r w:rsidR="0027351B" w:rsidRPr="00515233">
        <w:rPr>
          <w:rFonts w:cstheme="minorHAnsi"/>
          <w:color w:val="000000" w:themeColor="text1"/>
        </w:rPr>
        <w:t xml:space="preserve"> </w:t>
      </w:r>
      <w:r w:rsidR="0027351B">
        <w:rPr>
          <w:rFonts w:cstheme="minorHAnsi"/>
        </w:rPr>
        <w:t xml:space="preserve">The directions ask </w:t>
      </w:r>
      <w:r w:rsidR="00651878">
        <w:rPr>
          <w:rFonts w:cstheme="minorHAnsi"/>
        </w:rPr>
        <w:t xml:space="preserve">that </w:t>
      </w:r>
      <w:r w:rsidR="0027351B">
        <w:rPr>
          <w:rFonts w:cstheme="minorHAnsi"/>
        </w:rPr>
        <w:t>LCAP</w:t>
      </w:r>
      <w:r w:rsidR="00651878">
        <w:rPr>
          <w:rFonts w:cstheme="minorHAnsi"/>
        </w:rPr>
        <w:t xml:space="preserve"> is included</w:t>
      </w:r>
      <w:r w:rsidR="0027351B">
        <w:rPr>
          <w:rFonts w:cstheme="minorHAnsi"/>
        </w:rPr>
        <w:t xml:space="preserve"> i</w:t>
      </w:r>
      <w:r w:rsidR="00651878">
        <w:rPr>
          <w:rFonts w:cstheme="minorHAnsi"/>
        </w:rPr>
        <w:t>n the appendix of the</w:t>
      </w:r>
      <w:r w:rsidR="00D70086">
        <w:rPr>
          <w:rFonts w:cstheme="minorHAnsi"/>
        </w:rPr>
        <w:t xml:space="preserve"> report. The</w:t>
      </w:r>
      <w:r w:rsidR="00D70086" w:rsidRPr="002D53C6">
        <w:rPr>
          <w:rFonts w:cstheme="minorHAnsi"/>
          <w:color w:val="C00000"/>
        </w:rPr>
        <w:t xml:space="preserve"> </w:t>
      </w:r>
      <w:r w:rsidR="00D70086" w:rsidRPr="00515233">
        <w:rPr>
          <w:rFonts w:cstheme="minorHAnsi"/>
          <w:color w:val="000000" w:themeColor="text1"/>
        </w:rPr>
        <w:t>L</w:t>
      </w:r>
      <w:r w:rsidR="002D53C6" w:rsidRPr="00515233">
        <w:rPr>
          <w:rFonts w:cstheme="minorHAnsi"/>
          <w:color w:val="000000" w:themeColor="text1"/>
        </w:rPr>
        <w:t>.A. Unified</w:t>
      </w:r>
      <w:r w:rsidR="00D70086" w:rsidRPr="00515233">
        <w:rPr>
          <w:rFonts w:cstheme="minorHAnsi"/>
          <w:color w:val="000000" w:themeColor="text1"/>
        </w:rPr>
        <w:t xml:space="preserve"> </w:t>
      </w:r>
      <w:r w:rsidR="00D70086">
        <w:rPr>
          <w:rFonts w:cstheme="minorHAnsi"/>
        </w:rPr>
        <w:t>LCAP is so</w:t>
      </w:r>
      <w:r w:rsidR="00323C90">
        <w:rPr>
          <w:rFonts w:cstheme="minorHAnsi"/>
        </w:rPr>
        <w:t>mewhat lengthy (1</w:t>
      </w:r>
      <w:r w:rsidR="0039666F">
        <w:rPr>
          <w:rFonts w:cstheme="minorHAnsi"/>
        </w:rPr>
        <w:t>15</w:t>
      </w:r>
      <w:r w:rsidR="00323C90">
        <w:rPr>
          <w:rFonts w:cstheme="minorHAnsi"/>
        </w:rPr>
        <w:t xml:space="preserve"> pages), therefore</w:t>
      </w:r>
      <w:r w:rsidR="0027351B">
        <w:rPr>
          <w:rFonts w:cstheme="minorHAnsi"/>
        </w:rPr>
        <w:t xml:space="preserve">, </w:t>
      </w:r>
      <w:r w:rsidR="00651878">
        <w:rPr>
          <w:rFonts w:cstheme="minorHAnsi"/>
        </w:rPr>
        <w:t xml:space="preserve">it is recommended that a </w:t>
      </w:r>
      <w:r w:rsidR="0027351B">
        <w:rPr>
          <w:rFonts w:cstheme="minorHAnsi"/>
        </w:rPr>
        <w:t>link to t</w:t>
      </w:r>
      <w:r w:rsidR="00323C90">
        <w:rPr>
          <w:rFonts w:cstheme="minorHAnsi"/>
        </w:rPr>
        <w:t xml:space="preserve">he </w:t>
      </w:r>
      <w:r w:rsidR="00E06BAE">
        <w:rPr>
          <w:rFonts w:cstheme="minorHAnsi"/>
        </w:rPr>
        <w:t xml:space="preserve">District </w:t>
      </w:r>
      <w:r w:rsidR="00323C90">
        <w:rPr>
          <w:rFonts w:cstheme="minorHAnsi"/>
        </w:rPr>
        <w:t xml:space="preserve">LCAP </w:t>
      </w:r>
      <w:r w:rsidR="00E06BAE">
        <w:rPr>
          <w:rFonts w:cstheme="minorHAnsi"/>
        </w:rPr>
        <w:t xml:space="preserve">website at </w:t>
      </w:r>
      <w:hyperlink r:id="rId8" w:history="1">
        <w:r w:rsidR="00687549" w:rsidRPr="00076BBD">
          <w:rPr>
            <w:rStyle w:val="Hyperlink"/>
          </w:rPr>
          <w:t>https://achieve.</w:t>
        </w:r>
        <w:r w:rsidR="002D53C6">
          <w:rPr>
            <w:rStyle w:val="Hyperlink"/>
          </w:rPr>
          <w:t xml:space="preserve"> L.A. Unified </w:t>
        </w:r>
        <w:r w:rsidR="00687549" w:rsidRPr="00076BBD">
          <w:rPr>
            <w:rStyle w:val="Hyperlink"/>
          </w:rPr>
          <w:t>.net/lcap</w:t>
        </w:r>
      </w:hyperlink>
      <w:r w:rsidR="00687549">
        <w:t xml:space="preserve"> </w:t>
      </w:r>
      <w:r w:rsidR="00651878" w:rsidRPr="00651878">
        <w:rPr>
          <w:rStyle w:val="Hyperlink"/>
          <w:rFonts w:cstheme="minorHAnsi"/>
          <w:color w:val="000000" w:themeColor="text1"/>
          <w:u w:val="none"/>
        </w:rPr>
        <w:t>is included.</w:t>
      </w:r>
    </w:p>
    <w:p w14:paraId="1458A6F5" w14:textId="77777777" w:rsidR="005671A7" w:rsidRDefault="005671A7" w:rsidP="009E1C4A">
      <w:pPr>
        <w:spacing w:after="0"/>
        <w:rPr>
          <w:rFonts w:cstheme="minorHAnsi"/>
        </w:rPr>
      </w:pPr>
    </w:p>
    <w:p w14:paraId="2809CECF" w14:textId="05B7549A" w:rsidR="005772C8" w:rsidRPr="0034352A" w:rsidRDefault="005772C8" w:rsidP="009E1C4A">
      <w:pPr>
        <w:spacing w:after="0"/>
        <w:rPr>
          <w:rFonts w:cstheme="minorHAnsi"/>
        </w:rPr>
      </w:pPr>
      <w:r w:rsidRPr="005671A7">
        <w:rPr>
          <w:rFonts w:cstheme="minorHAnsi"/>
          <w:b/>
        </w:rPr>
        <w:t>A</w:t>
      </w:r>
      <w:r w:rsidR="0027351B">
        <w:rPr>
          <w:rFonts w:cstheme="minorHAnsi"/>
          <w:b/>
        </w:rPr>
        <w:t>.</w:t>
      </w:r>
      <w:r w:rsidR="003F2BB2">
        <w:rPr>
          <w:rFonts w:cstheme="minorHAnsi"/>
          <w:b/>
        </w:rPr>
        <w:t>4</w:t>
      </w:r>
      <w:r w:rsidR="0027351B">
        <w:rPr>
          <w:rFonts w:cstheme="minorHAnsi"/>
          <w:b/>
        </w:rPr>
        <w:t>.</w:t>
      </w:r>
      <w:r w:rsidRPr="005671A7">
        <w:rPr>
          <w:rFonts w:cstheme="minorHAnsi"/>
          <w:b/>
        </w:rPr>
        <w:t xml:space="preserve">a </w:t>
      </w:r>
      <w:r w:rsidR="00387862">
        <w:rPr>
          <w:rFonts w:cstheme="minorHAnsi"/>
          <w:b/>
        </w:rPr>
        <w:t>(Page 51)</w:t>
      </w:r>
    </w:p>
    <w:p w14:paraId="1B4FB1D2" w14:textId="77777777" w:rsidR="005772C8" w:rsidRPr="0034352A" w:rsidRDefault="005772C8" w:rsidP="009E1C4A">
      <w:pPr>
        <w:spacing w:after="0"/>
        <w:rPr>
          <w:rFonts w:cstheme="minorHAnsi"/>
        </w:rPr>
      </w:pPr>
    </w:p>
    <w:p w14:paraId="5B6577DD" w14:textId="6C79B10B" w:rsidR="009E1C4A" w:rsidRPr="00AA1FD0" w:rsidRDefault="002D53C6" w:rsidP="009E1C4A">
      <w:pPr>
        <w:spacing w:after="0"/>
        <w:rPr>
          <w:rFonts w:cstheme="minorHAnsi"/>
          <w:strike/>
          <w:color w:val="C00000"/>
        </w:rPr>
      </w:pPr>
      <w:r w:rsidRPr="00515233">
        <w:rPr>
          <w:rFonts w:cstheme="minorHAnsi"/>
          <w:color w:val="000000" w:themeColor="text1"/>
        </w:rPr>
        <w:t>L.A. Unified</w:t>
      </w:r>
      <w:r w:rsidR="00882DD6" w:rsidRPr="00515233">
        <w:rPr>
          <w:rFonts w:cstheme="minorHAnsi"/>
          <w:color w:val="000000" w:themeColor="text1"/>
        </w:rPr>
        <w:t xml:space="preserve"> </w:t>
      </w:r>
      <w:r w:rsidR="00882DD6" w:rsidRPr="0034352A">
        <w:rPr>
          <w:rFonts w:cstheme="minorHAnsi"/>
        </w:rPr>
        <w:t>LCAP development was coordinate</w:t>
      </w:r>
      <w:r w:rsidR="003824CC">
        <w:rPr>
          <w:rFonts w:cstheme="minorHAnsi"/>
        </w:rPr>
        <w:t>d</w:t>
      </w:r>
      <w:r w:rsidR="00882DD6" w:rsidRPr="0034352A">
        <w:rPr>
          <w:rFonts w:cstheme="minorHAnsi"/>
        </w:rPr>
        <w:t xml:space="preserve"> through central offices in collaboration with over 2,200 community and school-based </w:t>
      </w:r>
      <w:r w:rsidR="005772C8" w:rsidRPr="0034352A">
        <w:rPr>
          <w:rFonts w:cstheme="minorHAnsi"/>
        </w:rPr>
        <w:t>stakeholders</w:t>
      </w:r>
      <w:r w:rsidR="00323C90">
        <w:rPr>
          <w:rFonts w:cstheme="minorHAnsi"/>
        </w:rPr>
        <w:t xml:space="preserve">, i.e., </w:t>
      </w:r>
      <w:r w:rsidR="00882DD6" w:rsidRPr="0034352A">
        <w:rPr>
          <w:rFonts w:cstheme="minorHAnsi"/>
        </w:rPr>
        <w:t xml:space="preserve">parents (54%), teachers </w:t>
      </w:r>
      <w:r w:rsidR="00473EBD">
        <w:rPr>
          <w:rFonts w:cstheme="minorHAnsi"/>
        </w:rPr>
        <w:t>and school staff (21</w:t>
      </w:r>
      <w:r w:rsidR="00882DD6" w:rsidRPr="0034352A">
        <w:rPr>
          <w:rFonts w:cstheme="minorHAnsi"/>
        </w:rPr>
        <w:t xml:space="preserve">%), students (17%), community </w:t>
      </w:r>
      <w:r w:rsidR="002445D1">
        <w:rPr>
          <w:rFonts w:cstheme="minorHAnsi"/>
        </w:rPr>
        <w:t xml:space="preserve">and other </w:t>
      </w:r>
      <w:r w:rsidR="00882DD6" w:rsidRPr="0034352A">
        <w:rPr>
          <w:rFonts w:cstheme="minorHAnsi"/>
        </w:rPr>
        <w:t>representatives (</w:t>
      </w:r>
      <w:r w:rsidR="00473EBD">
        <w:rPr>
          <w:rFonts w:cstheme="minorHAnsi"/>
        </w:rPr>
        <w:t>8</w:t>
      </w:r>
      <w:r w:rsidR="00882DD6" w:rsidRPr="0034352A">
        <w:rPr>
          <w:rFonts w:cstheme="minorHAnsi"/>
        </w:rPr>
        <w:t xml:space="preserve">%).  </w:t>
      </w:r>
      <w:r w:rsidR="00515233" w:rsidRPr="00515233">
        <w:rPr>
          <w:rFonts w:cstheme="minorHAnsi"/>
          <w:color w:val="000000" w:themeColor="text1"/>
        </w:rPr>
        <w:t>C</w:t>
      </w:r>
      <w:r w:rsidR="009E1C4A" w:rsidRPr="00515233">
        <w:rPr>
          <w:rFonts w:cstheme="minorHAnsi"/>
          <w:color w:val="000000" w:themeColor="text1"/>
        </w:rPr>
        <w:t>ommunity sponsored</w:t>
      </w:r>
      <w:r w:rsidR="005772C8" w:rsidRPr="00515233">
        <w:rPr>
          <w:rFonts w:cstheme="minorHAnsi"/>
          <w:color w:val="000000" w:themeColor="text1"/>
        </w:rPr>
        <w:t xml:space="preserve"> </w:t>
      </w:r>
      <w:r w:rsidR="009E1C4A" w:rsidRPr="00515233">
        <w:rPr>
          <w:rFonts w:cstheme="minorHAnsi"/>
          <w:color w:val="000000" w:themeColor="text1"/>
        </w:rPr>
        <w:t>Input Sessions were held across the District t</w:t>
      </w:r>
      <w:r w:rsidR="00D90332" w:rsidRPr="00515233">
        <w:rPr>
          <w:rFonts w:cstheme="minorHAnsi"/>
          <w:color w:val="000000" w:themeColor="text1"/>
        </w:rPr>
        <w:t xml:space="preserve">o </w:t>
      </w:r>
      <w:r w:rsidR="009E1C4A" w:rsidRPr="00515233">
        <w:rPr>
          <w:rFonts w:cstheme="minorHAnsi"/>
          <w:color w:val="000000" w:themeColor="text1"/>
        </w:rPr>
        <w:t xml:space="preserve">share progress made as a result of </w:t>
      </w:r>
      <w:r w:rsidRPr="00515233">
        <w:rPr>
          <w:rFonts w:cstheme="minorHAnsi"/>
          <w:color w:val="000000" w:themeColor="text1"/>
        </w:rPr>
        <w:t>L.A. UNIFIED</w:t>
      </w:r>
      <w:r w:rsidR="009E1C4A" w:rsidRPr="00515233">
        <w:rPr>
          <w:rFonts w:cstheme="minorHAnsi"/>
          <w:color w:val="000000" w:themeColor="text1"/>
        </w:rPr>
        <w:t xml:space="preserve">’s LCAP goals and investments.  Additionally, a total of 1,177 </w:t>
      </w:r>
      <w:r w:rsidR="00F72005" w:rsidRPr="00515233">
        <w:rPr>
          <w:rFonts w:cstheme="minorHAnsi"/>
          <w:color w:val="000000" w:themeColor="text1"/>
        </w:rPr>
        <w:t>School Experience Surveys (SES)</w:t>
      </w:r>
      <w:r w:rsidR="009E1C4A" w:rsidRPr="00515233">
        <w:rPr>
          <w:rFonts w:cstheme="minorHAnsi"/>
          <w:color w:val="000000" w:themeColor="text1"/>
        </w:rPr>
        <w:t xml:space="preserve"> were collected (both in person and online); and over 17,700 individual responses were analyzed from</w:t>
      </w:r>
      <w:r w:rsidR="00FA2DCB" w:rsidRPr="00515233">
        <w:rPr>
          <w:rFonts w:cstheme="minorHAnsi"/>
          <w:color w:val="000000" w:themeColor="text1"/>
        </w:rPr>
        <w:t xml:space="preserve"> </w:t>
      </w:r>
      <w:r w:rsidR="002445D1" w:rsidRPr="00515233">
        <w:rPr>
          <w:rFonts w:cstheme="minorHAnsi"/>
          <w:color w:val="000000" w:themeColor="text1"/>
        </w:rPr>
        <w:t>the</w:t>
      </w:r>
      <w:r w:rsidR="009E1C4A" w:rsidRPr="00515233">
        <w:rPr>
          <w:rFonts w:cstheme="minorHAnsi"/>
          <w:color w:val="000000" w:themeColor="text1"/>
        </w:rPr>
        <w:t xml:space="preserve"> surveys.</w:t>
      </w:r>
      <w:r w:rsidR="009E1C4A" w:rsidRPr="00515233">
        <w:rPr>
          <w:rFonts w:cstheme="minorHAnsi"/>
          <w:strike/>
          <w:color w:val="000000" w:themeColor="text1"/>
        </w:rPr>
        <w:t xml:space="preserve">  </w:t>
      </w:r>
    </w:p>
    <w:p w14:paraId="5EB44A6D" w14:textId="77777777" w:rsidR="009E1C4A" w:rsidRPr="0034352A" w:rsidRDefault="009E1C4A" w:rsidP="009E1C4A">
      <w:pPr>
        <w:spacing w:after="0"/>
        <w:rPr>
          <w:rFonts w:cstheme="minorHAnsi"/>
        </w:rPr>
      </w:pPr>
    </w:p>
    <w:p w14:paraId="46038815" w14:textId="77777777" w:rsidR="00D862C6" w:rsidRDefault="009E1C4A" w:rsidP="009E1C4A">
      <w:pPr>
        <w:spacing w:after="0"/>
        <w:rPr>
          <w:rFonts w:cstheme="minorHAnsi"/>
          <w:color w:val="000000" w:themeColor="text1"/>
        </w:rPr>
      </w:pPr>
      <w:r w:rsidRPr="0034352A">
        <w:rPr>
          <w:rFonts w:cstheme="minorHAnsi"/>
        </w:rPr>
        <w:t>This input from the community was used t</w:t>
      </w:r>
      <w:r w:rsidR="00D90332">
        <w:rPr>
          <w:rFonts w:cstheme="minorHAnsi"/>
        </w:rPr>
        <w:t xml:space="preserve">o </w:t>
      </w:r>
      <w:r w:rsidR="00F72005">
        <w:rPr>
          <w:rFonts w:cstheme="minorHAnsi"/>
        </w:rPr>
        <w:t>reaffirm D</w:t>
      </w:r>
      <w:r w:rsidR="00DB650C">
        <w:rPr>
          <w:rFonts w:cstheme="minorHAnsi"/>
        </w:rPr>
        <w:t xml:space="preserve">istrict goals and </w:t>
      </w:r>
      <w:r w:rsidRPr="0034352A">
        <w:rPr>
          <w:rFonts w:cstheme="minorHAnsi"/>
        </w:rPr>
        <w:t>id</w:t>
      </w:r>
      <w:r w:rsidR="00DB650C">
        <w:rPr>
          <w:rFonts w:cstheme="minorHAnsi"/>
        </w:rPr>
        <w:t>entify the needs of students, schools, and</w:t>
      </w:r>
      <w:r w:rsidRPr="0034352A">
        <w:rPr>
          <w:rFonts w:cstheme="minorHAnsi"/>
        </w:rPr>
        <w:t xml:space="preserve"> metrics t</w:t>
      </w:r>
      <w:r w:rsidR="00D90332">
        <w:rPr>
          <w:rFonts w:cstheme="minorHAnsi"/>
        </w:rPr>
        <w:t xml:space="preserve">o </w:t>
      </w:r>
      <w:r w:rsidRPr="0034352A">
        <w:rPr>
          <w:rFonts w:cstheme="minorHAnsi"/>
        </w:rPr>
        <w:t>be used for monitoring progres</w:t>
      </w:r>
      <w:r w:rsidR="00DB650C">
        <w:rPr>
          <w:rFonts w:cstheme="minorHAnsi"/>
        </w:rPr>
        <w:t xml:space="preserve">s and setting targets for the </w:t>
      </w:r>
      <w:r w:rsidRPr="0034352A">
        <w:rPr>
          <w:rFonts w:cstheme="minorHAnsi"/>
        </w:rPr>
        <w:t>metrics.  Addition</w:t>
      </w:r>
      <w:r w:rsidR="00D552B6">
        <w:rPr>
          <w:rFonts w:cstheme="minorHAnsi"/>
        </w:rPr>
        <w:t>ally, community input</w:t>
      </w:r>
      <w:r w:rsidR="00D90332">
        <w:rPr>
          <w:rFonts w:cstheme="minorHAnsi"/>
        </w:rPr>
        <w:t xml:space="preserve"> </w:t>
      </w:r>
      <w:r w:rsidR="0009662A">
        <w:rPr>
          <w:rFonts w:cstheme="minorHAnsi"/>
        </w:rPr>
        <w:t>inform</w:t>
      </w:r>
      <w:r w:rsidR="00D552B6">
        <w:rPr>
          <w:rFonts w:cstheme="minorHAnsi"/>
        </w:rPr>
        <w:t>ed</w:t>
      </w:r>
      <w:r w:rsidRPr="0034352A">
        <w:rPr>
          <w:rFonts w:cstheme="minorHAnsi"/>
        </w:rPr>
        <w:t xml:space="preserve"> the specific actions the District will take and how LCFF f</w:t>
      </w:r>
      <w:r w:rsidR="006075AD">
        <w:rPr>
          <w:rFonts w:cstheme="minorHAnsi"/>
        </w:rPr>
        <w:t xml:space="preserve">unds will be allocated </w:t>
      </w:r>
      <w:r w:rsidRPr="0034352A">
        <w:rPr>
          <w:rFonts w:cstheme="minorHAnsi"/>
        </w:rPr>
        <w:t>for the District t</w:t>
      </w:r>
      <w:r w:rsidR="00D90332">
        <w:rPr>
          <w:rFonts w:cstheme="minorHAnsi"/>
        </w:rPr>
        <w:t xml:space="preserve">o </w:t>
      </w:r>
      <w:r w:rsidRPr="0034352A">
        <w:rPr>
          <w:rFonts w:cstheme="minorHAnsi"/>
        </w:rPr>
        <w:t>meet its goals and</w:t>
      </w:r>
      <w:r w:rsidR="00380AAC">
        <w:rPr>
          <w:rFonts w:cstheme="minorHAnsi"/>
        </w:rPr>
        <w:t xml:space="preserve"> targets for each academic </w:t>
      </w:r>
      <w:r w:rsidRPr="0034352A">
        <w:rPr>
          <w:rFonts w:cstheme="minorHAnsi"/>
        </w:rPr>
        <w:t>year.</w:t>
      </w:r>
      <w:r w:rsidR="00425594" w:rsidRPr="0034352A">
        <w:rPr>
          <w:rFonts w:cstheme="minorHAnsi"/>
        </w:rPr>
        <w:t xml:space="preserve"> A fuller description of LCAP development </w:t>
      </w:r>
      <w:r w:rsidR="009A7827" w:rsidRPr="0034352A">
        <w:rPr>
          <w:rFonts w:cstheme="minorHAnsi"/>
        </w:rPr>
        <w:t xml:space="preserve">and the themes that arose from the community feedback </w:t>
      </w:r>
      <w:r w:rsidR="00874714">
        <w:rPr>
          <w:rFonts w:cstheme="minorHAnsi"/>
        </w:rPr>
        <w:t xml:space="preserve">may be found using this specific </w:t>
      </w:r>
      <w:r w:rsidR="00874714" w:rsidRPr="00D862C6">
        <w:rPr>
          <w:rFonts w:cstheme="minorHAnsi"/>
          <w:color w:val="000000" w:themeColor="text1"/>
        </w:rPr>
        <w:t>link</w:t>
      </w:r>
      <w:r w:rsidR="007E27F1" w:rsidRPr="00D862C6">
        <w:rPr>
          <w:rFonts w:cstheme="minorHAnsi"/>
          <w:color w:val="000000" w:themeColor="text1"/>
        </w:rPr>
        <w:t xml:space="preserve">: </w:t>
      </w:r>
      <w:r w:rsidR="00425594" w:rsidRPr="00D862C6">
        <w:rPr>
          <w:rFonts w:cstheme="minorHAnsi"/>
          <w:color w:val="000000" w:themeColor="text1"/>
        </w:rPr>
        <w:t xml:space="preserve"> </w:t>
      </w:r>
    </w:p>
    <w:p w14:paraId="5C07777D" w14:textId="77777777" w:rsidR="00D862C6" w:rsidRDefault="00D862C6" w:rsidP="009E1C4A">
      <w:pPr>
        <w:spacing w:after="0"/>
        <w:rPr>
          <w:rFonts w:cstheme="minorHAnsi"/>
          <w:color w:val="000000" w:themeColor="text1"/>
        </w:rPr>
      </w:pPr>
    </w:p>
    <w:p w14:paraId="45981C14" w14:textId="17908BD5" w:rsidR="009E1C4A" w:rsidRDefault="0018186A" w:rsidP="009E1C4A">
      <w:pPr>
        <w:spacing w:after="0"/>
      </w:pPr>
      <w:hyperlink w:history="1">
        <w:r w:rsidR="00D862C6" w:rsidRPr="00165594">
          <w:rPr>
            <w:rStyle w:val="Hyperlink"/>
          </w:rPr>
          <w:t>https://achieve. L.A. Unified .net/cms/lib/CA01000043/Centricity/Domain/358/LA%20Unified%20LCAP%202019-20%20DRAFT.pdf</w:t>
        </w:r>
      </w:hyperlink>
    </w:p>
    <w:p w14:paraId="7779F4FE" w14:textId="77777777" w:rsidR="00534F68" w:rsidRPr="0034352A" w:rsidRDefault="00534F68" w:rsidP="009E1C4A">
      <w:pPr>
        <w:spacing w:after="0"/>
        <w:rPr>
          <w:rFonts w:cstheme="minorHAnsi"/>
        </w:rPr>
      </w:pPr>
    </w:p>
    <w:p w14:paraId="1CB8AA4A" w14:textId="167C2BB6" w:rsidR="003B2661" w:rsidRPr="00D862C6" w:rsidRDefault="005671A7" w:rsidP="009E1C4A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b/>
        </w:rPr>
        <w:t>A</w:t>
      </w:r>
      <w:r w:rsidR="0027351B">
        <w:rPr>
          <w:rFonts w:cstheme="minorHAnsi"/>
          <w:b/>
        </w:rPr>
        <w:t>.</w:t>
      </w:r>
      <w:r w:rsidR="003F2BB2">
        <w:rPr>
          <w:rFonts w:cstheme="minorHAnsi"/>
          <w:b/>
        </w:rPr>
        <w:t>4</w:t>
      </w:r>
      <w:r w:rsidR="0027351B">
        <w:rPr>
          <w:rFonts w:cstheme="minorHAnsi"/>
          <w:b/>
        </w:rPr>
        <w:t>.</w:t>
      </w:r>
      <w:r w:rsidR="00534F68" w:rsidRPr="005671A7">
        <w:rPr>
          <w:rFonts w:cstheme="minorHAnsi"/>
          <w:b/>
        </w:rPr>
        <w:t>b-d</w:t>
      </w:r>
      <w:r w:rsidR="006939F3" w:rsidRPr="005671A7">
        <w:rPr>
          <w:rFonts w:cstheme="minorHAnsi"/>
          <w:b/>
        </w:rPr>
        <w:t>:</w:t>
      </w:r>
      <w:r w:rsidR="006939F3">
        <w:rPr>
          <w:rFonts w:cstheme="minorHAnsi"/>
        </w:rPr>
        <w:t xml:space="preserve"> </w:t>
      </w:r>
      <w:r w:rsidR="002D53C6" w:rsidRPr="00D862C6">
        <w:rPr>
          <w:rFonts w:cstheme="minorHAnsi"/>
          <w:color w:val="000000" w:themeColor="text1"/>
        </w:rPr>
        <w:t>L.A. Unified</w:t>
      </w:r>
      <w:r w:rsidR="006939F3" w:rsidRPr="00D862C6">
        <w:rPr>
          <w:rFonts w:cstheme="minorHAnsi"/>
          <w:color w:val="000000" w:themeColor="text1"/>
        </w:rPr>
        <w:t xml:space="preserve"> </w:t>
      </w:r>
      <w:r w:rsidR="006939F3">
        <w:rPr>
          <w:rFonts w:cstheme="minorHAnsi"/>
        </w:rPr>
        <w:t>LCAP Goals, Identified Needs and Metrics</w:t>
      </w:r>
      <w:r w:rsidR="009F3860">
        <w:rPr>
          <w:rFonts w:cstheme="minorHAnsi"/>
        </w:rPr>
        <w:t xml:space="preserve"> </w:t>
      </w:r>
      <w:r w:rsidR="009F3860" w:rsidRPr="00D862C6">
        <w:rPr>
          <w:rFonts w:cstheme="minorHAnsi"/>
          <w:color w:val="000000" w:themeColor="text1"/>
        </w:rPr>
        <w:t>(</w:t>
      </w:r>
      <w:r w:rsidR="00AA1FD0" w:rsidRPr="00D862C6">
        <w:rPr>
          <w:rFonts w:cstheme="minorHAnsi"/>
          <w:color w:val="000000" w:themeColor="text1"/>
        </w:rPr>
        <w:t xml:space="preserve">Identified </w:t>
      </w:r>
      <w:r w:rsidR="003B2661" w:rsidRPr="00D862C6">
        <w:rPr>
          <w:rFonts w:cstheme="minorHAnsi"/>
          <w:color w:val="000000" w:themeColor="text1"/>
        </w:rPr>
        <w:t xml:space="preserve">needs and metrics </w:t>
      </w:r>
      <w:r w:rsidR="00AA1FD0" w:rsidRPr="00D862C6">
        <w:rPr>
          <w:rFonts w:cstheme="minorHAnsi"/>
          <w:color w:val="000000" w:themeColor="text1"/>
        </w:rPr>
        <w:t xml:space="preserve">are </w:t>
      </w:r>
      <w:r w:rsidR="003B2661" w:rsidRPr="00D862C6">
        <w:rPr>
          <w:rFonts w:cstheme="minorHAnsi"/>
          <w:color w:val="000000" w:themeColor="text1"/>
        </w:rPr>
        <w:t xml:space="preserve">related specifically to </w:t>
      </w:r>
      <w:r w:rsidR="00D90332" w:rsidRPr="00D862C6">
        <w:rPr>
          <w:rFonts w:cstheme="minorHAnsi"/>
          <w:color w:val="000000" w:themeColor="text1"/>
        </w:rPr>
        <w:t>elementar</w:t>
      </w:r>
      <w:r w:rsidR="00563E34" w:rsidRPr="00D862C6">
        <w:rPr>
          <w:rFonts w:cstheme="minorHAnsi"/>
          <w:color w:val="000000" w:themeColor="text1"/>
        </w:rPr>
        <w:t>y schools</w:t>
      </w:r>
      <w:r w:rsidR="00AA1FD0" w:rsidRPr="00D862C6">
        <w:rPr>
          <w:rFonts w:cstheme="minorHAnsi"/>
          <w:color w:val="000000" w:themeColor="text1"/>
        </w:rPr>
        <w:t>. S</w:t>
      </w:r>
      <w:r w:rsidR="00563E34" w:rsidRPr="00D862C6">
        <w:rPr>
          <w:rFonts w:cstheme="minorHAnsi"/>
          <w:color w:val="000000" w:themeColor="text1"/>
        </w:rPr>
        <w:t>tudents are</w:t>
      </w:r>
      <w:r w:rsidR="00D90332" w:rsidRPr="00D862C6">
        <w:rPr>
          <w:rFonts w:cstheme="minorHAnsi"/>
          <w:color w:val="000000" w:themeColor="text1"/>
        </w:rPr>
        <w:t xml:space="preserve"> removed from this description</w:t>
      </w:r>
      <w:r w:rsidR="00BB3391" w:rsidRPr="00D862C6">
        <w:rPr>
          <w:rFonts w:cstheme="minorHAnsi"/>
          <w:color w:val="000000" w:themeColor="text1"/>
        </w:rPr>
        <w:t>)</w:t>
      </w:r>
      <w:r w:rsidR="003B2661" w:rsidRPr="00D862C6">
        <w:rPr>
          <w:rFonts w:cstheme="minorHAnsi"/>
          <w:color w:val="000000" w:themeColor="text1"/>
        </w:rPr>
        <w:t xml:space="preserve">.  </w:t>
      </w:r>
    </w:p>
    <w:p w14:paraId="73698FA7" w14:textId="77777777" w:rsidR="003B2661" w:rsidRDefault="003B2661" w:rsidP="009E1C4A">
      <w:pPr>
        <w:spacing w:after="0"/>
        <w:rPr>
          <w:rFonts w:cstheme="minorHAnsi"/>
        </w:rPr>
      </w:pPr>
    </w:p>
    <w:p w14:paraId="5911E072" w14:textId="056763D8" w:rsidR="003B2661" w:rsidRPr="0034352A" w:rsidRDefault="00504A65" w:rsidP="009E1C4A">
      <w:pPr>
        <w:spacing w:after="0"/>
        <w:rPr>
          <w:rFonts w:cstheme="minorHAnsi"/>
        </w:rPr>
      </w:pPr>
      <w:r>
        <w:rPr>
          <w:rFonts w:cstheme="minorHAnsi"/>
        </w:rPr>
        <w:t xml:space="preserve">It is recommended that </w:t>
      </w:r>
      <w:r w:rsidR="006715DD">
        <w:rPr>
          <w:rFonts w:cstheme="minorHAnsi"/>
        </w:rPr>
        <w:t xml:space="preserve">the </w:t>
      </w:r>
      <w:r w:rsidR="007D088A">
        <w:rPr>
          <w:rFonts w:cstheme="minorHAnsi"/>
        </w:rPr>
        <w:t>table below</w:t>
      </w:r>
      <w:r w:rsidR="003B2661">
        <w:rPr>
          <w:rFonts w:cstheme="minorHAnsi"/>
        </w:rPr>
        <w:t xml:space="preserve"> </w:t>
      </w:r>
      <w:r>
        <w:rPr>
          <w:rFonts w:cstheme="minorHAnsi"/>
        </w:rPr>
        <w:t xml:space="preserve">is included </w:t>
      </w:r>
      <w:r w:rsidR="003B2661">
        <w:rPr>
          <w:rFonts w:cstheme="minorHAnsi"/>
        </w:rPr>
        <w:t>in your Self-S</w:t>
      </w:r>
      <w:r w:rsidR="00666573">
        <w:rPr>
          <w:rFonts w:cstheme="minorHAnsi"/>
        </w:rPr>
        <w:t>tudy Appendices</w:t>
      </w:r>
      <w:r w:rsidR="00FA410C">
        <w:rPr>
          <w:rFonts w:cstheme="minorHAnsi"/>
        </w:rPr>
        <w:t xml:space="preserve"> and that the </w:t>
      </w:r>
      <w:r w:rsidR="003B2661">
        <w:rPr>
          <w:rFonts w:cstheme="minorHAnsi"/>
        </w:rPr>
        <w:t>needs and metrics that a</w:t>
      </w:r>
      <w:r w:rsidR="00FA410C">
        <w:rPr>
          <w:rFonts w:cstheme="minorHAnsi"/>
        </w:rPr>
        <w:t>re most in alignment with your self-s</w:t>
      </w:r>
      <w:r w:rsidR="00212B9A">
        <w:rPr>
          <w:rFonts w:cstheme="minorHAnsi"/>
        </w:rPr>
        <w:t xml:space="preserve">tudy findings or action plan </w:t>
      </w:r>
      <w:r w:rsidR="00FA410C">
        <w:rPr>
          <w:rFonts w:cstheme="minorHAnsi"/>
        </w:rPr>
        <w:t>are boldface or underlined.</w:t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245"/>
        <w:gridCol w:w="2970"/>
        <w:gridCol w:w="4135"/>
        <w:gridCol w:w="1471"/>
        <w:gridCol w:w="1472"/>
        <w:gridCol w:w="1472"/>
      </w:tblGrid>
      <w:tr w:rsidR="0062067B" w:rsidRPr="000B2C66" w14:paraId="45675375" w14:textId="77777777" w:rsidTr="00C55879">
        <w:trPr>
          <w:tblHeader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C6210" w14:textId="77777777" w:rsidR="0062067B" w:rsidRPr="000B2C66" w:rsidRDefault="0062067B" w:rsidP="008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LCAP Goal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AAAC1D3" w14:textId="77777777" w:rsidR="0062067B" w:rsidRPr="000B2C66" w:rsidRDefault="0062067B" w:rsidP="008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Identified Need</w:t>
            </w:r>
          </w:p>
        </w:tc>
        <w:tc>
          <w:tcPr>
            <w:tcW w:w="4135" w:type="dxa"/>
            <w:shd w:val="clear" w:color="auto" w:fill="D9D9D9" w:themeFill="background1" w:themeFillShade="D9"/>
            <w:vAlign w:val="center"/>
          </w:tcPr>
          <w:p w14:paraId="73DA9676" w14:textId="061FF89F" w:rsidR="0062067B" w:rsidRPr="000B2C66" w:rsidRDefault="0062067B" w:rsidP="0089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E102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F067BE">
              <w:rPr>
                <w:rFonts w:ascii="Times New Roman" w:hAnsi="Times New Roman" w:cs="Times New Roman"/>
                <w:sz w:val="24"/>
                <w:szCs w:val="24"/>
              </w:rPr>
              <w:t xml:space="preserve">Metric and Actual </w:t>
            </w:r>
          </w:p>
        </w:tc>
        <w:tc>
          <w:tcPr>
            <w:tcW w:w="4415" w:type="dxa"/>
            <w:gridSpan w:val="3"/>
            <w:shd w:val="clear" w:color="auto" w:fill="D9D9D9" w:themeFill="background1" w:themeFillShade="D9"/>
          </w:tcPr>
          <w:p w14:paraId="58B27E45" w14:textId="77777777" w:rsidR="00903BBE" w:rsidRDefault="0062067B" w:rsidP="0090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Targets</w:t>
            </w:r>
          </w:p>
          <w:p w14:paraId="23CB32C4" w14:textId="6B3F2218" w:rsidR="00903BBE" w:rsidRPr="000B2C66" w:rsidRDefault="00903BBE" w:rsidP="00903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2017-2018         2018-2019       2019-2020</w:t>
            </w:r>
          </w:p>
        </w:tc>
      </w:tr>
      <w:tr w:rsidR="005B3017" w:rsidRPr="000B2C66" w14:paraId="2D087C11" w14:textId="77777777" w:rsidTr="00C55879">
        <w:tc>
          <w:tcPr>
            <w:tcW w:w="2245" w:type="dxa"/>
            <w:vMerge w:val="restart"/>
            <w:tcBorders>
              <w:top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7F98992" w14:textId="2CDA4156" w:rsidR="00604EED" w:rsidRPr="000B2C66" w:rsidRDefault="00DD1A49" w:rsidP="00604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Graduatio</w:t>
            </w:r>
            <w:r w:rsidR="00FD2B6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F6641" w14:textId="79C74594" w:rsidR="00604EED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To monitor and support high school </w:t>
            </w:r>
            <w:r w:rsidRPr="00D86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attainment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A298A3" w14:textId="75821EA8" w:rsidR="005B3017" w:rsidRPr="000B2C66" w:rsidRDefault="00185C6D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Four-</w:t>
            </w:r>
            <w:r w:rsidR="004E4E88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ear </w:t>
            </w:r>
            <w:r w:rsidR="004E4E8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ohort </w:t>
            </w:r>
            <w:r w:rsidR="004E4E8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raduation </w:t>
            </w:r>
            <w:r w:rsidR="004E4E8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</w:t>
            </w:r>
            <w:r w:rsidR="005B30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77.3</w:t>
            </w:r>
            <w:r w:rsidR="005B30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6EC69AED" w14:textId="09BA0066" w:rsidR="005B3017" w:rsidRPr="000B2C66" w:rsidRDefault="00B81E6F" w:rsidP="001B7580">
            <w:pPr>
              <w:pStyle w:val="ListParagraph"/>
              <w:autoSpaceDE w:val="0"/>
              <w:autoSpaceDN w:val="0"/>
              <w:adjustRightInd w:val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30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FFFFFF" w:themeFill="background1"/>
          </w:tcPr>
          <w:p w14:paraId="54325DB9" w14:textId="108A0169" w:rsidR="005B3017" w:rsidRPr="000B2C66" w:rsidRDefault="00B81E6F" w:rsidP="001B7580">
            <w:pPr>
              <w:pStyle w:val="ListParagraph"/>
              <w:autoSpaceDE w:val="0"/>
              <w:autoSpaceDN w:val="0"/>
              <w:adjustRightInd w:val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0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FFFFFF" w:themeFill="background1"/>
          </w:tcPr>
          <w:p w14:paraId="2B426424" w14:textId="4A97C69B" w:rsidR="005B3017" w:rsidRPr="000B2C66" w:rsidRDefault="00B81E6F" w:rsidP="001B7580">
            <w:pPr>
              <w:pStyle w:val="ListParagraph"/>
              <w:autoSpaceDE w:val="0"/>
              <w:autoSpaceDN w:val="0"/>
              <w:adjustRightInd w:val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5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30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3017" w:rsidRPr="000B2C66" w14:paraId="442EBE7E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8C5A7D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3B3949" w14:textId="6CC54902" w:rsidR="005B3017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To increase number of students who successfully complete high school college and career </w:t>
            </w:r>
            <w:r w:rsidRPr="00D86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ready</w:t>
            </w:r>
          </w:p>
          <w:p w14:paraId="3A31D7E4" w14:textId="77777777" w:rsidR="007E27F1" w:rsidRDefault="007E27F1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83DBB" w14:textId="1F512F2A" w:rsidR="007E27F1" w:rsidRPr="000B2C66" w:rsidRDefault="007E27F1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D78165" w14:textId="612A5E29" w:rsidR="00D4523D" w:rsidRDefault="00D4523D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Cohort </w:t>
            </w:r>
            <w:r w:rsidR="004E4E8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ropout </w:t>
            </w:r>
            <w:r w:rsidR="004E4E8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ate:  </w:t>
            </w:r>
          </w:p>
          <w:p w14:paraId="283B79A6" w14:textId="672030F8" w:rsidR="00D4523D" w:rsidRDefault="00D4523D" w:rsidP="00D4523D">
            <w:pPr>
              <w:pStyle w:val="ListParagraph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High School:  13.0%</w:t>
            </w:r>
          </w:p>
          <w:p w14:paraId="64840001" w14:textId="571CCA92" w:rsidR="00D4523D" w:rsidRDefault="00D4523D" w:rsidP="00D4523D">
            <w:pPr>
              <w:pStyle w:val="ListParagraph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Middle School:  N/A</w:t>
            </w:r>
          </w:p>
          <w:p w14:paraId="17E52459" w14:textId="365E4616" w:rsidR="005B3017" w:rsidRPr="000B2C66" w:rsidRDefault="00134B1C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graduating cohort completing A-G requirements with a “C” or better</w:t>
            </w:r>
            <w:r w:rsidR="00D8117D">
              <w:rPr>
                <w:rFonts w:ascii="Times New Roman" w:hAnsi="Times New Roman" w:cs="Times New Roman"/>
                <w:sz w:val="24"/>
                <w:szCs w:val="24"/>
              </w:rPr>
              <w:t>:  47.9%</w:t>
            </w:r>
          </w:p>
          <w:p w14:paraId="4CB03602" w14:textId="6EAD4B0D" w:rsidR="005B3017" w:rsidRPr="000B2C66" w:rsidRDefault="0050093A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</w:t>
            </w:r>
            <w:r w:rsidR="00DC6E3A">
              <w:rPr>
                <w:rFonts w:ascii="Times New Roman" w:hAnsi="Times New Roman" w:cs="Times New Roman"/>
                <w:sz w:val="24"/>
                <w:szCs w:val="24"/>
              </w:rPr>
              <w:t xml:space="preserve"> graduation cohort receiving a qualifying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core of “3” or higher on at least 2 A</w:t>
            </w:r>
            <w:r w:rsidR="00D8117D">
              <w:rPr>
                <w:rFonts w:ascii="Times New Roman" w:hAnsi="Times New Roman" w:cs="Times New Roman"/>
                <w:sz w:val="24"/>
                <w:szCs w:val="24"/>
              </w:rPr>
              <w:t xml:space="preserve">dvanced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8117D">
              <w:rPr>
                <w:rFonts w:ascii="Times New Roman" w:hAnsi="Times New Roman" w:cs="Times New Roman"/>
                <w:sz w:val="24"/>
                <w:szCs w:val="24"/>
              </w:rPr>
              <w:t>lacement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exams:  </w:t>
            </w:r>
            <w:r w:rsidR="00D8117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5121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F14D61A" w14:textId="3D0950F4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 w:rsidR="00DC6E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E3A" w:rsidRPr="00DC6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C6E3A"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  <w:r w:rsidR="00AB4A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tudents </w:t>
            </w:r>
            <w:r w:rsidR="00AB4AFF">
              <w:rPr>
                <w:rFonts w:ascii="Times New Roman" w:hAnsi="Times New Roman" w:cs="Times New Roman"/>
                <w:sz w:val="24"/>
                <w:szCs w:val="24"/>
              </w:rPr>
              <w:t>demonstrating college r</w:t>
            </w:r>
            <w:r w:rsidR="006B7BDC">
              <w:rPr>
                <w:rFonts w:ascii="Times New Roman" w:hAnsi="Times New Roman" w:cs="Times New Roman"/>
                <w:sz w:val="24"/>
                <w:szCs w:val="24"/>
              </w:rPr>
              <w:t>eadiness via the Early Assessment Program (EAP)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>English Language Arts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</w:t>
            </w:r>
            <w:r w:rsidR="00326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8117D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BCDBA23" w14:textId="2B9F3035" w:rsidR="005B3017" w:rsidRPr="00AB4AFF" w:rsidRDefault="009D1EA0" w:rsidP="00AB4AF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6E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</w:t>
            </w:r>
            <w:r w:rsidR="00AB4A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tudents </w:t>
            </w:r>
            <w:r w:rsidR="00AB4AFF">
              <w:rPr>
                <w:rFonts w:ascii="Times New Roman" w:hAnsi="Times New Roman" w:cs="Times New Roman"/>
                <w:sz w:val="24"/>
                <w:szCs w:val="24"/>
              </w:rPr>
              <w:t>demonstrating college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eadiness via the Early Assessment Program (EAP)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Math: 7</w:t>
            </w:r>
            <w:r w:rsidR="0012101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58BCF891" w14:textId="7C5A7F7D" w:rsidR="00D4523D" w:rsidRDefault="00D4523D" w:rsidP="00BE2C52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DD6A" w14:textId="2F41A350" w:rsidR="00D4523D" w:rsidRDefault="00D4523D" w:rsidP="00BE2C52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  <w:p w14:paraId="51CB625B" w14:textId="66A49603" w:rsidR="00D4523D" w:rsidRDefault="00D4523D" w:rsidP="00BE2C52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.1%</w:t>
            </w:r>
          </w:p>
          <w:p w14:paraId="34865662" w14:textId="078AF337" w:rsidR="005B3017" w:rsidRDefault="00134B1C" w:rsidP="008447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C418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D4523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  <w:p w14:paraId="20ACBC5A" w14:textId="77777777" w:rsidR="006A2A20" w:rsidRDefault="006A2A20" w:rsidP="00BE2C52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9EDE" w14:textId="77777777" w:rsidR="006A2A20" w:rsidRDefault="006A2A20" w:rsidP="00BE2C52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B926A" w14:textId="238F23C5" w:rsidR="006A2A20" w:rsidRDefault="005121F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14:paraId="423CD675" w14:textId="77777777" w:rsidR="004321A5" w:rsidRDefault="004321A5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8476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4497" w14:textId="77777777" w:rsidR="00D8117D" w:rsidRDefault="00D8117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732C4" w14:textId="29736FEB" w:rsidR="004321A5" w:rsidRDefault="000E42B9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321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9C35E3E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376F2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0CB8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EA59E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6FF89" w14:textId="3230F415" w:rsidR="00B96E17" w:rsidRDefault="00F60B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6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E6AA9F3" w14:textId="1CC12C0F" w:rsidR="009B273D" w:rsidRPr="00F574A3" w:rsidRDefault="009B273D" w:rsidP="00AB4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6DBA8D51" w14:textId="77777777" w:rsidR="00D4523D" w:rsidRDefault="00D4523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DCAF" w14:textId="0E3E80F7" w:rsidR="00D4523D" w:rsidRDefault="00D4523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14:paraId="7D939963" w14:textId="77777777" w:rsidR="009927E7" w:rsidRDefault="00D4523D" w:rsidP="00992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.05%</w:t>
            </w:r>
          </w:p>
          <w:p w14:paraId="3193CD76" w14:textId="1F40373B" w:rsidR="005B3017" w:rsidRDefault="0084479B" w:rsidP="00992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574A3" w:rsidRPr="00F57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E3E0767" w14:textId="77777777" w:rsidR="006A2A20" w:rsidRDefault="006A2A20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C498" w14:textId="77777777" w:rsidR="006A2A20" w:rsidRDefault="006A2A20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EC40" w14:textId="65705013" w:rsidR="006A2A20" w:rsidRDefault="00424732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8C4FEF0" w14:textId="77777777" w:rsidR="004321A5" w:rsidRDefault="004321A5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49788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78B6A" w14:textId="77777777" w:rsidR="00D8117D" w:rsidRDefault="00D8117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7595" w14:textId="2EE933DE" w:rsidR="004321A5" w:rsidRDefault="000E42B9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321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8E893D8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A096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6FC6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0BC73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6DC4A" w14:textId="37F24A2D" w:rsidR="009B273D" w:rsidRPr="00F574A3" w:rsidRDefault="00F60B17" w:rsidP="00AB4A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96E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FFFFFF" w:themeFill="background1"/>
          </w:tcPr>
          <w:p w14:paraId="046CC866" w14:textId="77777777" w:rsidR="00D4523D" w:rsidRDefault="00D4523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91C16" w14:textId="659047C0" w:rsidR="00D4523D" w:rsidRDefault="00D4523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  <w:p w14:paraId="5C03441B" w14:textId="77777777" w:rsidR="009927E7" w:rsidRDefault="00D4523D" w:rsidP="00992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  <w:p w14:paraId="7BECB2B1" w14:textId="5C91AF69" w:rsidR="005B3017" w:rsidRDefault="0084479B" w:rsidP="00992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574A3" w:rsidRPr="00F574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2902736" w14:textId="77777777" w:rsidR="006A2A20" w:rsidRDefault="006A2A20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26A6" w14:textId="77777777" w:rsidR="006A2A20" w:rsidRDefault="006A2A20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9224A" w14:textId="09B4E914" w:rsidR="006A2A20" w:rsidRDefault="00424732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2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B951825" w14:textId="77777777" w:rsidR="004321A5" w:rsidRDefault="004321A5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60F34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DD312" w14:textId="77777777" w:rsidR="00D8117D" w:rsidRDefault="00D8117D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FD0B" w14:textId="5C2C2B16" w:rsidR="004321A5" w:rsidRDefault="000E42B9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321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0406398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97478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4020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AD5E1" w14:textId="77777777" w:rsidR="0056393C" w:rsidRDefault="0056393C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A36B" w14:textId="77777777" w:rsidR="00B96E17" w:rsidRDefault="00B96E17" w:rsidP="00BE2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14:paraId="6B3DFD63" w14:textId="2D3605D2" w:rsidR="009B273D" w:rsidRPr="00F574A3" w:rsidRDefault="009B273D" w:rsidP="00AB4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40C" w:rsidRPr="000B2C66" w14:paraId="297712A3" w14:textId="77777777" w:rsidTr="00343BD0">
        <w:trPr>
          <w:trHeight w:val="379"/>
        </w:trPr>
        <w:tc>
          <w:tcPr>
            <w:tcW w:w="2245" w:type="dxa"/>
            <w:tcBorders>
              <w:bottom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6454C7" w14:textId="77777777" w:rsidR="00E3240C" w:rsidRDefault="00E3240C" w:rsidP="00E3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Proficiency for All </w:t>
            </w:r>
          </w:p>
          <w:p w14:paraId="6D0D6EE2" w14:textId="77777777" w:rsidR="00E3240C" w:rsidRPr="000B2C66" w:rsidRDefault="00E3240C" w:rsidP="00E3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63C625" w14:textId="678EB082" w:rsidR="00E3240C" w:rsidRPr="000B2C66" w:rsidRDefault="00E3240C" w:rsidP="00E3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To increase the number of students in grades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and 2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, who have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early literacy benchmarks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="007E27F1" w:rsidRPr="00EB0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End-of-Year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DIBELS assessment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73D5D3" w14:textId="607AE0D7" w:rsidR="00E3240C" w:rsidRPr="00EB08E7" w:rsidRDefault="00E3240C" w:rsidP="00E324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of students meeting early literacy benchmarks </w:t>
            </w:r>
            <w:r w:rsidRPr="00EB0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(End-of-</w:t>
            </w:r>
            <w:r w:rsidR="007E27F1" w:rsidRPr="00EB0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EB08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ear DIBELS assessment)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</w:tblGrid>
            <w:tr w:rsidR="00E3240C" w14:paraId="38DE5702" w14:textId="77777777" w:rsidTr="009943AC">
              <w:tc>
                <w:tcPr>
                  <w:tcW w:w="1947" w:type="dxa"/>
                  <w:tcBorders>
                    <w:bottom w:val="single" w:sz="4" w:space="0" w:color="auto"/>
                  </w:tcBorders>
                </w:tcPr>
                <w:p w14:paraId="7FDEC901" w14:textId="52B47B35" w:rsidR="00E3240C" w:rsidRDefault="00E3240C" w:rsidP="00E324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08E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Kinder</w:t>
                  </w:r>
                  <w:r w:rsidR="007E27F1" w:rsidRPr="00EB08E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garten</w:t>
                  </w:r>
                </w:p>
              </w:tc>
              <w:tc>
                <w:tcPr>
                  <w:tcW w:w="1948" w:type="dxa"/>
                </w:tcPr>
                <w:p w14:paraId="20D224E6" w14:textId="77777777" w:rsidR="00E3240C" w:rsidRDefault="00E3240C" w:rsidP="00E324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69%</w:t>
                  </w:r>
                </w:p>
              </w:tc>
            </w:tr>
            <w:tr w:rsidR="00E3240C" w14:paraId="06BEF7A5" w14:textId="77777777" w:rsidTr="009943AC">
              <w:tc>
                <w:tcPr>
                  <w:tcW w:w="1947" w:type="dxa"/>
                  <w:tcBorders>
                    <w:bottom w:val="single" w:sz="4" w:space="0" w:color="auto"/>
                  </w:tcBorders>
                </w:tcPr>
                <w:p w14:paraId="44BCBE32" w14:textId="77777777" w:rsidR="00E3240C" w:rsidRDefault="00E3240C" w:rsidP="00E324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2</w:t>
                  </w:r>
                </w:p>
              </w:tc>
              <w:tc>
                <w:tcPr>
                  <w:tcW w:w="1948" w:type="dxa"/>
                </w:tcPr>
                <w:p w14:paraId="17D94F2C" w14:textId="77777777" w:rsidR="00E3240C" w:rsidRDefault="00E3240C" w:rsidP="00E324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71%</w:t>
                  </w:r>
                </w:p>
              </w:tc>
            </w:tr>
          </w:tbl>
          <w:p w14:paraId="09B53E9B" w14:textId="77777777" w:rsidR="00E3240C" w:rsidRDefault="00E3240C" w:rsidP="00E32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672F324E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9D17A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E174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6F875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14:paraId="092F6687" w14:textId="0CE667C4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472" w:type="dxa"/>
            <w:shd w:val="clear" w:color="auto" w:fill="FFFFFF" w:themeFill="background1"/>
          </w:tcPr>
          <w:p w14:paraId="7E2773B6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EFF15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AD1B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D4E7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  <w:p w14:paraId="7A7CEE94" w14:textId="5B997191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72" w:type="dxa"/>
            <w:shd w:val="clear" w:color="auto" w:fill="FFFFFF" w:themeFill="background1"/>
          </w:tcPr>
          <w:p w14:paraId="28A6A4BD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B111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9AD0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AFBE6" w14:textId="77777777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  <w:p w14:paraId="25D9A40B" w14:textId="4ADE7454" w:rsidR="00E3240C" w:rsidRDefault="00E3240C" w:rsidP="00E3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5B3017" w:rsidRPr="000B2C66" w14:paraId="29E4C4F8" w14:textId="77777777" w:rsidTr="00343BD0">
        <w:trPr>
          <w:trHeight w:val="379"/>
        </w:trPr>
        <w:tc>
          <w:tcPr>
            <w:tcW w:w="2245" w:type="dxa"/>
            <w:vMerge w:val="restart"/>
            <w:tcBorders>
              <w:top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D54B45" w14:textId="77777777" w:rsidR="001712E2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7A78" w14:textId="77777777" w:rsidR="001712E2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36B7" w14:textId="77777777" w:rsidR="001712E2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C898" w14:textId="62FABB8E" w:rsidR="001712E2" w:rsidRDefault="00AD7EE3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Proficiency for All</w:t>
            </w:r>
          </w:p>
          <w:p w14:paraId="1C6476D4" w14:textId="77777777" w:rsidR="001712E2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BF86A" w14:textId="77777777" w:rsidR="001712E2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4256B" w14:textId="77777777" w:rsidR="001712E2" w:rsidRPr="000B2C66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EC5523" w14:textId="681662E3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increase the number of students in grades 3-8, 11 who have met standard or 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above in English Language Arts on the SBAC assessment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8ADC55" w14:textId="455768E2" w:rsidR="005B3017" w:rsidRPr="000B2C66" w:rsidRDefault="007E5CA1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Average distance from </w:t>
            </w:r>
            <w:r w:rsidR="00477318">
              <w:rPr>
                <w:rFonts w:ascii="Times New Roman" w:hAnsi="Times New Roman" w:cs="Times New Roman"/>
                <w:sz w:val="24"/>
                <w:szCs w:val="24"/>
              </w:rPr>
              <w:t>standard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Smarter Balance</w:t>
            </w:r>
            <w:r w:rsidR="00451A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</w:t>
            </w:r>
            <w:r w:rsidR="00AE5912">
              <w:rPr>
                <w:rFonts w:ascii="Times New Roman" w:hAnsi="Times New Roman" w:cs="Times New Roman"/>
                <w:sz w:val="24"/>
                <w:szCs w:val="24"/>
              </w:rPr>
              <w:t>nt for English Language Arts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</w:tblGrid>
            <w:tr w:rsidR="00AE5912" w14:paraId="30C90781" w14:textId="77777777" w:rsidTr="00AE5912">
              <w:tc>
                <w:tcPr>
                  <w:tcW w:w="1947" w:type="dxa"/>
                </w:tcPr>
                <w:p w14:paraId="025F5257" w14:textId="1C7CDC6F" w:rsidR="00AE5912" w:rsidRDefault="00AE5912" w:rsidP="00896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Grades 3-5</w:t>
                  </w:r>
                </w:p>
              </w:tc>
              <w:tc>
                <w:tcPr>
                  <w:tcW w:w="1948" w:type="dxa"/>
                </w:tcPr>
                <w:p w14:paraId="1DE68D57" w14:textId="67B83308" w:rsidR="00AE5912" w:rsidRDefault="00AE5912" w:rsidP="00896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D353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D353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AE5912" w14:paraId="16E94597" w14:textId="77777777" w:rsidTr="00AE5912">
              <w:tc>
                <w:tcPr>
                  <w:tcW w:w="1947" w:type="dxa"/>
                </w:tcPr>
                <w:p w14:paraId="2B31BE3D" w14:textId="008FBF85" w:rsidR="00AE5912" w:rsidRDefault="00AE5912" w:rsidP="00896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Grades 6-8</w:t>
                  </w:r>
                </w:p>
              </w:tc>
              <w:tc>
                <w:tcPr>
                  <w:tcW w:w="1948" w:type="dxa"/>
                </w:tcPr>
                <w:p w14:paraId="2E5BE83D" w14:textId="4100A9DB" w:rsidR="00AE5912" w:rsidRDefault="00AE5912" w:rsidP="00896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-3</w:t>
                  </w:r>
                  <w:r w:rsidR="00D353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D353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AE5912" w14:paraId="6747E07C" w14:textId="77777777" w:rsidTr="00AE5912">
              <w:trPr>
                <w:trHeight w:val="251"/>
              </w:trPr>
              <w:tc>
                <w:tcPr>
                  <w:tcW w:w="1947" w:type="dxa"/>
                </w:tcPr>
                <w:p w14:paraId="0E1F7063" w14:textId="5DCC0870" w:rsidR="00AE5912" w:rsidRDefault="00AE5912" w:rsidP="00896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11</w:t>
                  </w:r>
                </w:p>
              </w:tc>
              <w:tc>
                <w:tcPr>
                  <w:tcW w:w="1948" w:type="dxa"/>
                </w:tcPr>
                <w:p w14:paraId="67273C79" w14:textId="34907B76" w:rsidR="00AE5912" w:rsidRDefault="00D35362" w:rsidP="00896B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-6</w:t>
                  </w:r>
                </w:p>
              </w:tc>
            </w:tr>
          </w:tbl>
          <w:p w14:paraId="6BDD0201" w14:textId="69D2376B" w:rsidR="00810705" w:rsidRPr="000B2C66" w:rsidRDefault="00810705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2A15666A" w14:textId="77777777" w:rsidR="005B3017" w:rsidRDefault="005B3017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6B3F2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10AD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67471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</w:t>
            </w:r>
          </w:p>
          <w:p w14:paraId="250DC508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14:paraId="18A2DC5F" w14:textId="3DE5ACC1" w:rsidR="00D3364F" w:rsidRPr="000B2C66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1472" w:type="dxa"/>
            <w:shd w:val="clear" w:color="auto" w:fill="FFFFFF" w:themeFill="background1"/>
          </w:tcPr>
          <w:p w14:paraId="2F2145B3" w14:textId="77777777" w:rsidR="005B3017" w:rsidRDefault="005B3017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B8D9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F27FC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E6359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-18.6</w:t>
            </w:r>
          </w:p>
          <w:p w14:paraId="57664537" w14:textId="77777777" w:rsidR="00D3364F" w:rsidRDefault="00D3364F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-23.1</w:t>
            </w:r>
          </w:p>
          <w:p w14:paraId="3AECF3AA" w14:textId="74CCFE78" w:rsidR="00D3364F" w:rsidRPr="000B2C66" w:rsidRDefault="00857338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33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shd w:val="clear" w:color="auto" w:fill="FFFFFF" w:themeFill="background1"/>
          </w:tcPr>
          <w:p w14:paraId="55EE1244" w14:textId="77777777" w:rsidR="005B3017" w:rsidRDefault="005B3017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F9A03" w14:textId="77777777" w:rsidR="00AF35DE" w:rsidRDefault="00AF35DE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40BB" w14:textId="77777777" w:rsidR="00AF35DE" w:rsidRDefault="00AF35DE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FF08" w14:textId="77777777" w:rsidR="00AF35DE" w:rsidRDefault="00AF35DE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-11.8</w:t>
            </w:r>
          </w:p>
          <w:p w14:paraId="24BDEB1E" w14:textId="77777777" w:rsidR="00AF35DE" w:rsidRDefault="00AF35DE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-16.1</w:t>
            </w:r>
          </w:p>
          <w:p w14:paraId="2F4CA1B7" w14:textId="774B2C83" w:rsidR="00AF35DE" w:rsidRPr="000B2C66" w:rsidRDefault="00857338" w:rsidP="005E0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F35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B3017" w:rsidRPr="000B2C66" w14:paraId="23AE2724" w14:textId="77777777" w:rsidTr="00FE0291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652F9E" w14:textId="24F1A1DC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E08BD9" w14:textId="3DDC7B60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increase the number of students in grades 3-8, 11 who have met standard or above in mathematics on the SBAC assessment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C044E9" w14:textId="61AC017F" w:rsidR="005B3017" w:rsidRPr="000B2C66" w:rsidRDefault="00810705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distance from </w:t>
            </w:r>
            <w:r w:rsidR="00451AA1">
              <w:rPr>
                <w:rFonts w:ascii="Times New Roman" w:hAnsi="Times New Roman" w:cs="Times New Roman"/>
                <w:sz w:val="24"/>
                <w:szCs w:val="24"/>
              </w:rPr>
              <w:t>standard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Smarter Balance</w:t>
            </w:r>
            <w:r w:rsidR="00451AA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Assessment for Math</w:t>
            </w:r>
            <w:r w:rsidR="00451AA1"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</w:tblGrid>
            <w:tr w:rsidR="00810705" w14:paraId="6E042B3A" w14:textId="77777777" w:rsidTr="00DA71FC">
              <w:tc>
                <w:tcPr>
                  <w:tcW w:w="1947" w:type="dxa"/>
                </w:tcPr>
                <w:p w14:paraId="560367A4" w14:textId="77777777" w:rsidR="00810705" w:rsidRDefault="00810705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Grades 3-5</w:t>
                  </w:r>
                </w:p>
              </w:tc>
              <w:tc>
                <w:tcPr>
                  <w:tcW w:w="1948" w:type="dxa"/>
                </w:tcPr>
                <w:p w14:paraId="5BABEF32" w14:textId="7C873705" w:rsidR="00810705" w:rsidRDefault="00561525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451A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35.6</w:t>
                  </w:r>
                </w:p>
              </w:tc>
            </w:tr>
            <w:tr w:rsidR="00810705" w14:paraId="4595AB19" w14:textId="77777777" w:rsidTr="00DA71FC">
              <w:tc>
                <w:tcPr>
                  <w:tcW w:w="1947" w:type="dxa"/>
                </w:tcPr>
                <w:p w14:paraId="30FB36A6" w14:textId="77777777" w:rsidR="00810705" w:rsidRDefault="00810705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Grades 6-8</w:t>
                  </w:r>
                </w:p>
              </w:tc>
              <w:tc>
                <w:tcPr>
                  <w:tcW w:w="1948" w:type="dxa"/>
                </w:tcPr>
                <w:p w14:paraId="306C4B68" w14:textId="582BCB97" w:rsidR="00810705" w:rsidRDefault="00561525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0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69.0</w:t>
                  </w:r>
                </w:p>
              </w:tc>
            </w:tr>
            <w:tr w:rsidR="00810705" w14:paraId="6890232C" w14:textId="77777777" w:rsidTr="000A76F1">
              <w:trPr>
                <w:trHeight w:val="251"/>
              </w:trPr>
              <w:tc>
                <w:tcPr>
                  <w:tcW w:w="1947" w:type="dxa"/>
                  <w:tcBorders>
                    <w:bottom w:val="single" w:sz="4" w:space="0" w:color="auto"/>
                  </w:tcBorders>
                </w:tcPr>
                <w:p w14:paraId="19D1C184" w14:textId="0CCCE534" w:rsidR="00451AA1" w:rsidRDefault="00810705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Grade 11</w:t>
                  </w:r>
                </w:p>
              </w:tc>
              <w:tc>
                <w:tcPr>
                  <w:tcW w:w="1948" w:type="dxa"/>
                  <w:tcBorders>
                    <w:bottom w:val="single" w:sz="4" w:space="0" w:color="auto"/>
                  </w:tcBorders>
                </w:tcPr>
                <w:p w14:paraId="1EF999DB" w14:textId="456A8D20" w:rsidR="00810705" w:rsidRDefault="00561525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E045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89.7</w:t>
                  </w:r>
                </w:p>
              </w:tc>
            </w:tr>
            <w:tr w:rsidR="000A76F1" w:rsidRPr="002772D7" w14:paraId="5CD59B8A" w14:textId="77777777" w:rsidTr="000A76F1">
              <w:trPr>
                <w:trHeight w:val="251"/>
              </w:trPr>
              <w:tc>
                <w:tcPr>
                  <w:tcW w:w="19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EE38BFC" w14:textId="77777777" w:rsidR="000A76F1" w:rsidRPr="002772D7" w:rsidRDefault="000A76F1" w:rsidP="00DA71FC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7DF2BA" w14:textId="77777777" w:rsidR="000A76F1" w:rsidRDefault="000A76F1" w:rsidP="00DA71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207FAD" w14:textId="3B3EA06D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329684DC" w14:textId="77777777" w:rsidR="00561525" w:rsidRDefault="00561525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BF9E" w14:textId="77777777" w:rsidR="00561525" w:rsidRDefault="00561525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7491F" w14:textId="77777777" w:rsidR="00451AA1" w:rsidRDefault="00451AA1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6DFF" w14:textId="55851D71" w:rsidR="005B3017" w:rsidRDefault="00802204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14:paraId="0CC4132C" w14:textId="77777777" w:rsidR="00802204" w:rsidRDefault="00802204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14:paraId="63CEF24D" w14:textId="41C6FB5A" w:rsidR="00802204" w:rsidRPr="000B2C66" w:rsidRDefault="00802204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1472" w:type="dxa"/>
            <w:shd w:val="clear" w:color="auto" w:fill="FFFFFF" w:themeFill="background1"/>
          </w:tcPr>
          <w:p w14:paraId="1A8AFD1F" w14:textId="77777777" w:rsidR="00561525" w:rsidRDefault="00561525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D573D" w14:textId="77777777" w:rsidR="00561525" w:rsidRDefault="00561525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6C7C2" w14:textId="77777777" w:rsidR="00451AA1" w:rsidRDefault="00451AA1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B2A4F" w14:textId="6E4D18A1" w:rsidR="005B3017" w:rsidRDefault="007F05F7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  <w:p w14:paraId="630F7435" w14:textId="77777777" w:rsidR="007F05F7" w:rsidRDefault="007F05F7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-55.5</w:t>
            </w:r>
          </w:p>
          <w:p w14:paraId="153267E4" w14:textId="43CE1A28" w:rsidR="007F05F7" w:rsidRPr="000B2C66" w:rsidRDefault="007F05F7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-71.1</w:t>
            </w:r>
          </w:p>
        </w:tc>
        <w:tc>
          <w:tcPr>
            <w:tcW w:w="1472" w:type="dxa"/>
            <w:shd w:val="clear" w:color="auto" w:fill="FFFFFF" w:themeFill="background1"/>
          </w:tcPr>
          <w:p w14:paraId="3DA8BC37" w14:textId="77777777" w:rsidR="00561525" w:rsidRDefault="00561525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969E4" w14:textId="77777777" w:rsidR="00561525" w:rsidRDefault="00561525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C16E" w14:textId="77777777" w:rsidR="00451AA1" w:rsidRDefault="00451AA1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076E2" w14:textId="651A2D46" w:rsidR="005B3017" w:rsidRDefault="007F05F7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</w:p>
          <w:p w14:paraId="60711573" w14:textId="77777777" w:rsidR="007F05F7" w:rsidRDefault="007F05F7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-46.5</w:t>
            </w:r>
          </w:p>
          <w:p w14:paraId="49C8493B" w14:textId="50CD4B47" w:rsidR="007F05F7" w:rsidRPr="000B2C66" w:rsidRDefault="007F05F7" w:rsidP="0016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-64.1</w:t>
            </w:r>
          </w:p>
        </w:tc>
      </w:tr>
      <w:tr w:rsidR="005B3017" w:rsidRPr="000B2C66" w14:paraId="0305BF13" w14:textId="77777777" w:rsidTr="00967C4C">
        <w:trPr>
          <w:trHeight w:val="1360"/>
        </w:trPr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D4E631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8FCCFA" w14:textId="1B03ACAA" w:rsidR="007A0E71" w:rsidRPr="000B2C66" w:rsidRDefault="00967C4C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To increase the number of English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earners demonstrating readiness to participate in a core English language arts curriculum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8F6D26B" w14:textId="6DCAE0FF" w:rsidR="00E753AC" w:rsidRPr="00E753AC" w:rsidRDefault="004C635D" w:rsidP="00E753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English Learners who reclassify as Fluent English Proficient (RFEP)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47"/>
              <w:gridCol w:w="1948"/>
            </w:tblGrid>
            <w:tr w:rsidR="004C635D" w14:paraId="47860269" w14:textId="77777777" w:rsidTr="00CE6EB9">
              <w:tc>
                <w:tcPr>
                  <w:tcW w:w="1947" w:type="dxa"/>
                </w:tcPr>
                <w:p w14:paraId="5E327234" w14:textId="7AC2DA95" w:rsidR="004C635D" w:rsidRDefault="004C635D" w:rsidP="004C6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</w:t>
                  </w:r>
                </w:p>
              </w:tc>
              <w:tc>
                <w:tcPr>
                  <w:tcW w:w="1948" w:type="dxa"/>
                </w:tcPr>
                <w:p w14:paraId="505427C1" w14:textId="220FC3CA" w:rsidR="004C635D" w:rsidRDefault="004C635D" w:rsidP="004C635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21%</w:t>
                  </w:r>
                </w:p>
              </w:tc>
            </w:tr>
          </w:tbl>
          <w:p w14:paraId="7CB7713A" w14:textId="687F717E" w:rsidR="00BA310F" w:rsidRPr="00BA310F" w:rsidRDefault="00BA310F" w:rsidP="00BA31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68408274" w14:textId="77777777" w:rsidR="00C87E8D" w:rsidRDefault="00C87E8D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7F1FB" w14:textId="77777777" w:rsidR="00C87E8D" w:rsidRDefault="00C87E8D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0057" w14:textId="77777777" w:rsidR="00C87E8D" w:rsidRDefault="00C87E8D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FB92E" w14:textId="307B0AB1" w:rsidR="005B3017" w:rsidRPr="002E0F72" w:rsidRDefault="00DD76D5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72" w:type="dxa"/>
            <w:shd w:val="clear" w:color="auto" w:fill="FFFFFF" w:themeFill="background1"/>
          </w:tcPr>
          <w:p w14:paraId="2232E1EA" w14:textId="77777777" w:rsidR="00C87E8D" w:rsidRDefault="00C87E8D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2D03" w14:textId="77777777" w:rsidR="00C87E8D" w:rsidRDefault="00C87E8D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A28CA" w14:textId="77777777" w:rsidR="00C87E8D" w:rsidRDefault="00C87E8D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FDDF8" w14:textId="0B08BAFD" w:rsidR="0067597A" w:rsidRPr="00DD76D5" w:rsidRDefault="00DD76D5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D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472" w:type="dxa"/>
            <w:tcBorders>
              <w:right w:val="single" w:sz="4" w:space="0" w:color="000000"/>
            </w:tcBorders>
            <w:shd w:val="clear" w:color="auto" w:fill="FFFFFF" w:themeFill="background1"/>
          </w:tcPr>
          <w:p w14:paraId="58E8723A" w14:textId="77777777" w:rsidR="00C87E8D" w:rsidRDefault="00C87E8D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BCB0E" w14:textId="77777777" w:rsidR="00C87E8D" w:rsidRDefault="00C87E8D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0B52" w14:textId="77777777" w:rsidR="00C87E8D" w:rsidRDefault="00C87E8D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35F24" w14:textId="3CE987E4" w:rsidR="0067597A" w:rsidRPr="00DD76D5" w:rsidRDefault="00DD76D5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6D5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5B3017" w:rsidRPr="000B2C66" w14:paraId="474F35E3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7FEAF6" w14:textId="3D1596EF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65958B" w14:textId="7A3FB6B5" w:rsidR="005B3017" w:rsidRPr="000B2C66" w:rsidRDefault="001712E2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decrease the number of </w:t>
            </w:r>
            <w:r w:rsidR="003E45F3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 English Learners</w:t>
            </w:r>
            <w:r w:rsidR="008C2DCC">
              <w:rPr>
                <w:rFonts w:ascii="Times New Roman" w:hAnsi="Times New Roman" w:cs="Times New Roman"/>
                <w:sz w:val="24"/>
                <w:szCs w:val="24"/>
              </w:rPr>
              <w:t xml:space="preserve"> (LTELs)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487B1" w14:textId="70AB92A9" w:rsidR="005B3017" w:rsidRDefault="001712E2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 of </w:t>
            </w:r>
            <w:r w:rsidR="003E45F3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="008C2DCC">
              <w:rPr>
                <w:rFonts w:ascii="Times New Roman" w:hAnsi="Times New Roman" w:cs="Times New Roman"/>
                <w:sz w:val="24"/>
                <w:szCs w:val="24"/>
              </w:rPr>
              <w:t xml:space="preserve"> English L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earner</w:t>
            </w:r>
            <w:r w:rsidR="00B238E1">
              <w:rPr>
                <w:rFonts w:ascii="Times New Roman" w:hAnsi="Times New Roman" w:cs="Times New Roman"/>
                <w:sz w:val="24"/>
                <w:szCs w:val="24"/>
              </w:rPr>
              <w:t>s who</w:t>
            </w:r>
            <w:r w:rsidR="005B3017">
              <w:rPr>
                <w:rFonts w:ascii="Times New Roman" w:hAnsi="Times New Roman" w:cs="Times New Roman"/>
                <w:sz w:val="24"/>
                <w:szCs w:val="24"/>
              </w:rPr>
              <w:t xml:space="preserve"> have not reclassified in 5 years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0"/>
              <w:gridCol w:w="1931"/>
            </w:tblGrid>
            <w:tr w:rsidR="003B5544" w14:paraId="6A8A75AB" w14:textId="77777777" w:rsidTr="00B50DB0">
              <w:trPr>
                <w:trHeight w:val="248"/>
              </w:trPr>
              <w:tc>
                <w:tcPr>
                  <w:tcW w:w="1930" w:type="dxa"/>
                  <w:tcBorders>
                    <w:bottom w:val="single" w:sz="4" w:space="0" w:color="auto"/>
                  </w:tcBorders>
                </w:tcPr>
                <w:p w14:paraId="0A166A18" w14:textId="58A65E72" w:rsidR="003B5544" w:rsidRDefault="003B5544" w:rsidP="003B55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P-LTEL</w:t>
                  </w:r>
                </w:p>
              </w:tc>
              <w:tc>
                <w:tcPr>
                  <w:tcW w:w="1931" w:type="dxa"/>
                  <w:tcBorders>
                    <w:bottom w:val="single" w:sz="4" w:space="0" w:color="auto"/>
                  </w:tcBorders>
                </w:tcPr>
                <w:p w14:paraId="18F0D790" w14:textId="02C96FD4" w:rsidR="003B5544" w:rsidRDefault="003B5544" w:rsidP="003B55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</w:tr>
            <w:tr w:rsidR="002038A1" w14:paraId="6F6D0E01" w14:textId="77777777" w:rsidTr="00B50DB0">
              <w:trPr>
                <w:trHeight w:val="248"/>
              </w:trPr>
              <w:tc>
                <w:tcPr>
                  <w:tcW w:w="1930" w:type="dxa"/>
                  <w:tcBorders>
                    <w:left w:val="nil"/>
                    <w:bottom w:val="nil"/>
                    <w:right w:val="nil"/>
                  </w:tcBorders>
                </w:tcPr>
                <w:p w14:paraId="6F863797" w14:textId="77777777" w:rsidR="002038A1" w:rsidRDefault="002038A1" w:rsidP="003B55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left w:val="nil"/>
                    <w:bottom w:val="nil"/>
                    <w:right w:val="nil"/>
                  </w:tcBorders>
                </w:tcPr>
                <w:p w14:paraId="0B0F9252" w14:textId="77777777" w:rsidR="002038A1" w:rsidRPr="002038A1" w:rsidRDefault="002038A1" w:rsidP="003B554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c>
            </w:tr>
          </w:tbl>
          <w:p w14:paraId="4026CC7D" w14:textId="5088FC51" w:rsidR="003B5544" w:rsidRPr="000B2C66" w:rsidRDefault="003B5544" w:rsidP="003B5544">
            <w:pPr>
              <w:pStyle w:val="ListParagraph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72324A00" w14:textId="77777777" w:rsidR="00690449" w:rsidRDefault="00690449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A0B96" w14:textId="77777777" w:rsidR="00690449" w:rsidRDefault="00690449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2EFA9" w14:textId="77777777" w:rsidR="00690449" w:rsidRDefault="00690449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ACD4" w14:textId="113B694A" w:rsidR="005B3017" w:rsidRPr="00FD12B4" w:rsidRDefault="00FD12B4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72" w:type="dxa"/>
            <w:shd w:val="clear" w:color="auto" w:fill="FFFFFF" w:themeFill="background1"/>
          </w:tcPr>
          <w:p w14:paraId="76D70FAB" w14:textId="77777777" w:rsidR="00690449" w:rsidRDefault="00690449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1A48" w14:textId="77777777" w:rsidR="00690449" w:rsidRDefault="00690449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628FF" w14:textId="77777777" w:rsidR="00690449" w:rsidRDefault="00690449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1D8D" w14:textId="743C28CD" w:rsidR="005B3017" w:rsidRPr="00FD12B4" w:rsidRDefault="00FD12B4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472" w:type="dxa"/>
            <w:shd w:val="clear" w:color="auto" w:fill="FFFFFF" w:themeFill="background1"/>
          </w:tcPr>
          <w:p w14:paraId="3A183821" w14:textId="77777777" w:rsidR="00690449" w:rsidRDefault="00690449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EE47" w14:textId="77777777" w:rsidR="00690449" w:rsidRDefault="00690449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9BA5" w14:textId="77777777" w:rsidR="00690449" w:rsidRDefault="00690449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89093" w14:textId="1A5DF5E2" w:rsidR="005B3017" w:rsidRPr="00FD12B4" w:rsidRDefault="00FD12B4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E15018" w:rsidRPr="000B2C66" w14:paraId="4473703D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1DD3D2" w14:textId="77777777" w:rsidR="00E15018" w:rsidRPr="000B2C66" w:rsidRDefault="00E15018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5422B6" w14:textId="77777777" w:rsidR="00E15018" w:rsidRDefault="00E15018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C4910A" w14:textId="071AA0BF" w:rsidR="00E15018" w:rsidRDefault="00E15018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Learner progress demonstrated on the English Learner Proficiency Assessment for California (ELPAC) assessment:  NEW</w:t>
            </w:r>
          </w:p>
        </w:tc>
        <w:tc>
          <w:tcPr>
            <w:tcW w:w="1471" w:type="dxa"/>
            <w:shd w:val="clear" w:color="auto" w:fill="FFFFFF" w:themeFill="background1"/>
          </w:tcPr>
          <w:p w14:paraId="6BFCD5D7" w14:textId="5017D100" w:rsidR="00E15018" w:rsidRDefault="00E15018" w:rsidP="00B83CB7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1472" w:type="dxa"/>
            <w:shd w:val="clear" w:color="auto" w:fill="FFFFFF" w:themeFill="background1"/>
          </w:tcPr>
          <w:p w14:paraId="5DA4958F" w14:textId="04018B18" w:rsidR="00E15018" w:rsidRDefault="00E15018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Establish Benchmark</w:t>
            </w:r>
          </w:p>
        </w:tc>
        <w:tc>
          <w:tcPr>
            <w:tcW w:w="1472" w:type="dxa"/>
            <w:shd w:val="clear" w:color="auto" w:fill="FFFFFF" w:themeFill="background1"/>
          </w:tcPr>
          <w:p w14:paraId="0E0A83EA" w14:textId="67E813BD" w:rsidR="00E15018" w:rsidRDefault="00E15018" w:rsidP="00B83C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Benchmark +2%</w:t>
            </w:r>
          </w:p>
        </w:tc>
      </w:tr>
      <w:tr w:rsidR="005B3017" w:rsidRPr="000B2C66" w14:paraId="09214CCE" w14:textId="77777777" w:rsidTr="000D1AB3">
        <w:trPr>
          <w:trHeight w:val="1369"/>
        </w:trPr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B4629F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383B3D" w14:textId="20FB5D70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monitor and increase the number of Student with Disabilities</w:t>
            </w:r>
            <w:r w:rsidR="0084697B">
              <w:rPr>
                <w:rFonts w:ascii="Times New Roman" w:hAnsi="Times New Roman" w:cs="Times New Roman"/>
                <w:sz w:val="24"/>
                <w:szCs w:val="24"/>
              </w:rPr>
              <w:t xml:space="preserve"> (SWDs)</w:t>
            </w:r>
            <w:r w:rsidR="00B322C7">
              <w:rPr>
                <w:rFonts w:ascii="Times New Roman" w:hAnsi="Times New Roman" w:cs="Times New Roman"/>
                <w:sz w:val="24"/>
                <w:szCs w:val="24"/>
              </w:rPr>
              <w:t xml:space="preserve"> participating in general education s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ettings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6536D4" w14:textId="0389BB7B" w:rsidR="005B3017" w:rsidRPr="00F23714" w:rsidRDefault="005B3017" w:rsidP="00F2371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Percentage of students </w:t>
            </w:r>
            <w:r w:rsidR="0070671F">
              <w:rPr>
                <w:rFonts w:ascii="Times New Roman" w:hAnsi="Times New Roman" w:cs="Times New Roman"/>
                <w:sz w:val="24"/>
                <w:szCs w:val="24"/>
              </w:rPr>
              <w:t xml:space="preserve">with disabilities </w:t>
            </w:r>
            <w:r w:rsidR="00F23714">
              <w:rPr>
                <w:rFonts w:ascii="Times New Roman" w:hAnsi="Times New Roman" w:cs="Times New Roman"/>
                <w:sz w:val="24"/>
                <w:szCs w:val="24"/>
              </w:rPr>
              <w:t xml:space="preserve">participating in general education 80% or more of their instructional time: </w:t>
            </w:r>
            <w:r w:rsidR="002B50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237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05F54028" w14:textId="42A7ABAE" w:rsidR="00476DA3" w:rsidRPr="002B508C" w:rsidRDefault="002B508C" w:rsidP="000D1AB3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472" w:type="dxa"/>
            <w:shd w:val="clear" w:color="auto" w:fill="FFFFFF" w:themeFill="background1"/>
          </w:tcPr>
          <w:p w14:paraId="485F0907" w14:textId="3572011D" w:rsidR="00476DA3" w:rsidRDefault="002B508C" w:rsidP="000D1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  <w:p w14:paraId="2CAAE98B" w14:textId="0DACFA13" w:rsidR="00476DA3" w:rsidRPr="002B508C" w:rsidRDefault="00476DA3" w:rsidP="00087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33CE3703" w14:textId="7DF87F2A" w:rsidR="00CA5FFE" w:rsidRPr="000D1AB3" w:rsidRDefault="002B508C" w:rsidP="000D1AB3">
            <w:pPr>
              <w:pStyle w:val="ListParagraph"/>
              <w:autoSpaceDE w:val="0"/>
              <w:autoSpaceDN w:val="0"/>
              <w:adjustRightInd w:val="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5B3017" w:rsidRPr="000B2C66" w14:paraId="02DB4DE1" w14:textId="77777777" w:rsidTr="00B36FFF">
        <w:tc>
          <w:tcPr>
            <w:tcW w:w="224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D8C1EBA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100% Attendance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839FA2" w14:textId="663C6681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achieve or maintain school attendance rates that support student learning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8FF06E" w14:textId="6E9DE754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Percentage of students attending 96% or</w:t>
            </w:r>
            <w:r w:rsidR="005649CB">
              <w:rPr>
                <w:rFonts w:ascii="Times New Roman" w:hAnsi="Times New Roman" w:cs="Times New Roman"/>
                <w:sz w:val="24"/>
                <w:szCs w:val="24"/>
              </w:rPr>
              <w:t xml:space="preserve"> more (172-</w:t>
            </w:r>
            <w:r w:rsidR="00A37905">
              <w:rPr>
                <w:rFonts w:ascii="Times New Roman" w:hAnsi="Times New Roman" w:cs="Times New Roman"/>
                <w:sz w:val="24"/>
                <w:szCs w:val="24"/>
              </w:rPr>
              <w:t>180 school days</w:t>
            </w:r>
            <w:r w:rsidR="005649CB">
              <w:rPr>
                <w:rFonts w:ascii="Times New Roman" w:hAnsi="Times New Roman" w:cs="Times New Roman"/>
                <w:sz w:val="24"/>
                <w:szCs w:val="24"/>
              </w:rPr>
              <w:t>): 6</w:t>
            </w:r>
            <w:r w:rsidR="00E753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4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6C0778FC" w14:textId="76500EE3" w:rsidR="005B3017" w:rsidRPr="00A37905" w:rsidRDefault="005649CB" w:rsidP="00CF4C6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  <w:tc>
          <w:tcPr>
            <w:tcW w:w="1472" w:type="dxa"/>
            <w:shd w:val="clear" w:color="auto" w:fill="FFFFFF" w:themeFill="background1"/>
          </w:tcPr>
          <w:p w14:paraId="75B95142" w14:textId="01665942" w:rsidR="005B3017" w:rsidRPr="00A37905" w:rsidRDefault="005649CB" w:rsidP="00CF4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53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7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FFFFFF" w:themeFill="background1"/>
          </w:tcPr>
          <w:p w14:paraId="616F389A" w14:textId="5E747CCD" w:rsidR="005B3017" w:rsidRPr="00A37905" w:rsidRDefault="005649CB" w:rsidP="00CF4C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53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79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3017" w:rsidRPr="000B2C66" w14:paraId="76C737D0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773BA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2F68E2" w14:textId="36355461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decrease chronic absenteeism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D78D6E" w14:textId="0517A26C" w:rsidR="005B3017" w:rsidRPr="000B2C66" w:rsidRDefault="006A2D0D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s</w:t>
            </w:r>
            <w:r w:rsidR="00C10893">
              <w:rPr>
                <w:rFonts w:ascii="Times New Roman" w:hAnsi="Times New Roman" w:cs="Times New Roman"/>
                <w:sz w:val="24"/>
                <w:szCs w:val="24"/>
              </w:rPr>
              <w:t>tudents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893">
              <w:rPr>
                <w:rFonts w:ascii="Times New Roman" w:hAnsi="Times New Roman" w:cs="Times New Roman"/>
                <w:sz w:val="24"/>
                <w:szCs w:val="24"/>
              </w:rPr>
              <w:t>absen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t 9% or more</w:t>
            </w:r>
            <w:r w:rsidR="00C10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108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0893">
              <w:rPr>
                <w:rFonts w:ascii="Times New Roman" w:hAnsi="Times New Roman" w:cs="Times New Roman"/>
                <w:sz w:val="24"/>
                <w:szCs w:val="24"/>
              </w:rPr>
              <w:t xml:space="preserve"> days o</w:t>
            </w:r>
            <w:r w:rsidR="008374D3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="00837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—chronic absenteeism</w:t>
            </w:r>
            <w:r w:rsidR="002A6A05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73597B04" w14:textId="1B7084E2" w:rsidR="005B3017" w:rsidRPr="0050540E" w:rsidRDefault="002A6A05" w:rsidP="00222621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  <w:tc>
          <w:tcPr>
            <w:tcW w:w="1472" w:type="dxa"/>
            <w:shd w:val="clear" w:color="auto" w:fill="FFFFFF" w:themeFill="background1"/>
          </w:tcPr>
          <w:p w14:paraId="4AD14249" w14:textId="00B50A08" w:rsidR="005B3017" w:rsidRPr="0050540E" w:rsidRDefault="002A6A05" w:rsidP="00222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54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FFFFFF" w:themeFill="background1"/>
          </w:tcPr>
          <w:p w14:paraId="58E8D1D8" w14:textId="2C4E83B7" w:rsidR="005B3017" w:rsidRPr="0050540E" w:rsidRDefault="002A6A05" w:rsidP="00222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54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3017" w:rsidRPr="000B2C66" w14:paraId="0FCFB8CD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B5196D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9D55F8" w14:textId="36F2EE32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increase staff attendance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F7F018" w14:textId="6FAD9861" w:rsidR="005B3017" w:rsidRPr="000B2C66" w:rsidRDefault="00ED0523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all staff a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ttending 96% 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bove: 7</w:t>
            </w:r>
            <w:r w:rsidR="00CB2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45C2C33A" w14:textId="2888FCB8" w:rsidR="005B3017" w:rsidRPr="004005C9" w:rsidRDefault="004005C9" w:rsidP="00153201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72" w:type="dxa"/>
            <w:shd w:val="clear" w:color="auto" w:fill="FFFFFF" w:themeFill="background1"/>
          </w:tcPr>
          <w:p w14:paraId="5BC8613C" w14:textId="00A6AB2D" w:rsidR="005B3017" w:rsidRPr="004005C9" w:rsidRDefault="004005C9" w:rsidP="0015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72" w:type="dxa"/>
            <w:shd w:val="clear" w:color="auto" w:fill="FFFFFF" w:themeFill="background1"/>
          </w:tcPr>
          <w:p w14:paraId="31471A7B" w14:textId="62651710" w:rsidR="005B3017" w:rsidRPr="004005C9" w:rsidRDefault="004005C9" w:rsidP="001532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5B3017" w:rsidRPr="000B2C66" w14:paraId="0B34DC15" w14:textId="77777777" w:rsidTr="00B36FFF">
        <w:tc>
          <w:tcPr>
            <w:tcW w:w="224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F15B54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Parent, Community and Student Engagement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8B5B8E" w14:textId="20A8CFA7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increase the number of parents providing input about school conditions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4426B0" w14:textId="505C512A" w:rsidR="005B3017" w:rsidRPr="00656450" w:rsidRDefault="005B3017" w:rsidP="006564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5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50">
              <w:rPr>
                <w:rFonts w:ascii="Times New Roman" w:hAnsi="Times New Roman" w:cs="Times New Roman"/>
                <w:sz w:val="24"/>
                <w:szCs w:val="24"/>
              </w:rPr>
              <w:t>Percentage of parents</w:t>
            </w:r>
            <w:r w:rsidR="000B37DD">
              <w:rPr>
                <w:rFonts w:ascii="Times New Roman" w:hAnsi="Times New Roman" w:cs="Times New Roman"/>
                <w:sz w:val="24"/>
                <w:szCs w:val="24"/>
              </w:rPr>
              <w:t>/caregivers</w:t>
            </w:r>
            <w:r w:rsidRPr="00656450">
              <w:rPr>
                <w:rFonts w:ascii="Times New Roman" w:hAnsi="Times New Roman" w:cs="Times New Roman"/>
                <w:sz w:val="24"/>
                <w:szCs w:val="24"/>
              </w:rPr>
              <w:t xml:space="preserve"> completing the School Experience Survey (SES)</w:t>
            </w:r>
            <w:r w:rsidR="000073A8" w:rsidRPr="006564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B37D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564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98CE815" w14:textId="77777777" w:rsidR="005B3017" w:rsidRPr="00B66550" w:rsidRDefault="005B3017" w:rsidP="00656450">
            <w:pPr>
              <w:autoSpaceDE w:val="0"/>
              <w:autoSpaceDN w:val="0"/>
              <w:adjustRightInd w:val="0"/>
              <w:ind w:left="156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0DB045AC" w14:textId="4A63FB96" w:rsidR="005B3017" w:rsidRPr="000B2C66" w:rsidRDefault="000073A8" w:rsidP="00AE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72" w:type="dxa"/>
            <w:shd w:val="clear" w:color="auto" w:fill="FFFFFF" w:themeFill="background1"/>
          </w:tcPr>
          <w:p w14:paraId="3E6D9B5F" w14:textId="78B7899F" w:rsidR="005B3017" w:rsidRPr="000B2C66" w:rsidRDefault="000073A8" w:rsidP="00AE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72" w:type="dxa"/>
            <w:shd w:val="clear" w:color="auto" w:fill="FFFFFF" w:themeFill="background1"/>
          </w:tcPr>
          <w:p w14:paraId="0DEE54B8" w14:textId="34279AB0" w:rsidR="005B3017" w:rsidRPr="000B2C66" w:rsidRDefault="000073A8" w:rsidP="00AE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5B3017" w:rsidRPr="000B2C66" w14:paraId="58372AE8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EBBED1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3F958" w14:textId="07330B32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train parents on how to support learning at home and at school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817F41" w14:textId="6D35E658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 of schools training parents on academic initiatives by providing a minimu</w:t>
            </w:r>
            <w:r w:rsidR="000575B1">
              <w:rPr>
                <w:rFonts w:ascii="Times New Roman" w:hAnsi="Times New Roman" w:cs="Times New Roman"/>
                <w:sz w:val="24"/>
                <w:szCs w:val="24"/>
              </w:rPr>
              <w:t xml:space="preserve">m of four workshops annually: </w:t>
            </w:r>
            <w:r w:rsidR="00B26BED">
              <w:rPr>
                <w:rFonts w:ascii="Times New Roman" w:hAnsi="Times New Roman" w:cs="Times New Roman"/>
                <w:sz w:val="24"/>
                <w:szCs w:val="24"/>
              </w:rPr>
              <w:t>76.4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49FBDC18" w14:textId="118CD0C8" w:rsidR="005B3017" w:rsidRPr="00555C12" w:rsidRDefault="00555C12" w:rsidP="00AE557E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472" w:type="dxa"/>
            <w:shd w:val="clear" w:color="auto" w:fill="FFFFFF" w:themeFill="background1"/>
          </w:tcPr>
          <w:p w14:paraId="5E376BBE" w14:textId="5C9FE965" w:rsidR="005B3017" w:rsidRPr="00555C12" w:rsidRDefault="00555C12" w:rsidP="00AE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472" w:type="dxa"/>
            <w:shd w:val="clear" w:color="auto" w:fill="FFFFFF" w:themeFill="background1"/>
          </w:tcPr>
          <w:p w14:paraId="0F2D4EDD" w14:textId="23A5CDFE" w:rsidR="005B3017" w:rsidRPr="00555C12" w:rsidRDefault="00555C12" w:rsidP="00AE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B3017" w:rsidRPr="000B2C66" w14:paraId="439F7CC0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75F014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881B63" w14:textId="79CBEE14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assess level of impact and support students are receiving via School Experience Survey (SES)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8F82ED" w14:textId="32116D1D" w:rsidR="005B3017" w:rsidRPr="000B2C66" w:rsidRDefault="006D7BE9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s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tudents who</w:t>
            </w:r>
            <w:r w:rsidR="009B45D5">
              <w:rPr>
                <w:rFonts w:ascii="Times New Roman" w:hAnsi="Times New Roman" w:cs="Times New Roman"/>
                <w:sz w:val="24"/>
                <w:szCs w:val="24"/>
              </w:rPr>
              <w:t xml:space="preserve"> feel a part of their school: 6</w:t>
            </w:r>
            <w:r w:rsidR="00261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3EFF29A" w14:textId="05E302A5" w:rsidR="005B3017" w:rsidRPr="004317CB" w:rsidRDefault="005B3017" w:rsidP="00896B4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Percentage of parents who state</w:t>
            </w:r>
            <w:r w:rsidR="00413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 “My school provides resources to help me </w:t>
            </w:r>
            <w:r w:rsidR="0041301D">
              <w:rPr>
                <w:rFonts w:ascii="Times New Roman" w:hAnsi="Times New Roman" w:cs="Times New Roman"/>
                <w:sz w:val="24"/>
                <w:szCs w:val="24"/>
              </w:rPr>
              <w:t xml:space="preserve">support my child’s education”: </w:t>
            </w:r>
            <w:r w:rsidR="00580A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7907DEB0" w14:textId="77777777" w:rsidR="005B3017" w:rsidRDefault="000E2150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  <w:p w14:paraId="3DF6F67B" w14:textId="77777777" w:rsidR="0041301D" w:rsidRDefault="0041301D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E0C6" w14:textId="1DB63FBC" w:rsidR="0041301D" w:rsidRPr="000E2150" w:rsidRDefault="0041301D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472" w:type="dxa"/>
            <w:shd w:val="clear" w:color="auto" w:fill="FFFFFF" w:themeFill="background1"/>
          </w:tcPr>
          <w:p w14:paraId="73B7D3B4" w14:textId="77777777" w:rsidR="005B3017" w:rsidRDefault="000E2150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14:paraId="6E419A5F" w14:textId="77777777" w:rsidR="0041301D" w:rsidRDefault="0041301D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DFC40" w14:textId="65CC239F" w:rsidR="0041301D" w:rsidRPr="000E2150" w:rsidRDefault="0041301D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72" w:type="dxa"/>
            <w:shd w:val="clear" w:color="auto" w:fill="FFFFFF" w:themeFill="background1"/>
          </w:tcPr>
          <w:p w14:paraId="637F875E" w14:textId="77777777" w:rsidR="005B3017" w:rsidRDefault="000E2150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  <w:p w14:paraId="2E78FD9D" w14:textId="77777777" w:rsidR="0041301D" w:rsidRDefault="0041301D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2E170" w14:textId="72A6290E" w:rsidR="0041301D" w:rsidRPr="000E2150" w:rsidRDefault="0041301D" w:rsidP="00CA4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5B3017" w:rsidRPr="000B2C66" w14:paraId="57CDA11D" w14:textId="77777777" w:rsidTr="00B36FFF">
        <w:tc>
          <w:tcPr>
            <w:tcW w:w="2245" w:type="dxa"/>
            <w:vMerge w:val="restart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8819D47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School Safety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72C051" w14:textId="1F7966A2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sustain the low number of student suspensions while providing for targeted reductions in student subgroups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48B6F8" w14:textId="79EDABC7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Utilize single-student suspension rate</w:t>
            </w:r>
            <w:r w:rsidR="00342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56" w:rsidRPr="00AC7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E27F1" w:rsidRPr="00AC7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342F56" w:rsidRPr="00AC7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r w:rsidR="00342F56">
              <w:rPr>
                <w:rFonts w:ascii="Times New Roman" w:hAnsi="Times New Roman" w:cs="Times New Roman"/>
                <w:sz w:val="24"/>
                <w:szCs w:val="24"/>
              </w:rPr>
              <w:t>and out of school)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: 0.</w:t>
            </w:r>
            <w:r w:rsidR="00342F5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2A0363E" w14:textId="77777777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574D9C73" w14:textId="3630FF9D" w:rsidR="005B3017" w:rsidRPr="000B2C66" w:rsidRDefault="00B51B44" w:rsidP="0099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</w:p>
        </w:tc>
        <w:tc>
          <w:tcPr>
            <w:tcW w:w="1472" w:type="dxa"/>
            <w:shd w:val="clear" w:color="auto" w:fill="FFFFFF" w:themeFill="background1"/>
          </w:tcPr>
          <w:p w14:paraId="5777BCE6" w14:textId="4D6705AA" w:rsidR="005B3017" w:rsidRPr="000B2C66" w:rsidRDefault="00B51B44" w:rsidP="0099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F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472" w:type="dxa"/>
            <w:shd w:val="clear" w:color="auto" w:fill="FFFFFF" w:themeFill="background1"/>
          </w:tcPr>
          <w:p w14:paraId="27969B39" w14:textId="32542B4A" w:rsidR="005B3017" w:rsidRPr="000B2C66" w:rsidRDefault="00B51B44" w:rsidP="0099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BA66A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5B3017" w:rsidRPr="000B2C66" w14:paraId="1927F0CF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AAB359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AF20B1" w14:textId="0F6327F3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sustain the low number of instructional days lost to suspension while providing for targeted reductions in student subgroups</w:t>
            </w: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860B75" w14:textId="2D3FBBF6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Track impact of suspensions on instruction via number of instruction</w:t>
            </w:r>
            <w:r w:rsidR="00701DA9">
              <w:rPr>
                <w:rFonts w:ascii="Times New Roman" w:hAnsi="Times New Roman" w:cs="Times New Roman"/>
                <w:sz w:val="24"/>
                <w:szCs w:val="24"/>
              </w:rPr>
              <w:t xml:space="preserve">al days lost to suspension: </w:t>
            </w:r>
            <w:r w:rsidR="00DF6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1D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09D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71" w:type="dxa"/>
            <w:shd w:val="clear" w:color="auto" w:fill="FFFFFF" w:themeFill="background1"/>
          </w:tcPr>
          <w:p w14:paraId="0B72433A" w14:textId="6FE7BD46" w:rsidR="005B3017" w:rsidRPr="00701DA9" w:rsidRDefault="00701DA9" w:rsidP="00991F84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5,667</w:t>
            </w:r>
          </w:p>
        </w:tc>
        <w:tc>
          <w:tcPr>
            <w:tcW w:w="1472" w:type="dxa"/>
            <w:shd w:val="clear" w:color="auto" w:fill="FFFFFF" w:themeFill="background1"/>
          </w:tcPr>
          <w:p w14:paraId="3989B2A1" w14:textId="450B8C11" w:rsidR="005B3017" w:rsidRPr="003818B0" w:rsidRDefault="0048159C" w:rsidP="0099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  <w:r w:rsidR="00381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shd w:val="clear" w:color="auto" w:fill="FFFFFF" w:themeFill="background1"/>
          </w:tcPr>
          <w:p w14:paraId="7296AAEB" w14:textId="11F77C56" w:rsidR="005B3017" w:rsidRPr="003818B0" w:rsidRDefault="003818B0" w:rsidP="00991F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8159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  <w:tr w:rsidR="005B3017" w:rsidRPr="000B2C66" w14:paraId="4E9D5659" w14:textId="77777777" w:rsidTr="00B36FFF">
        <w:tc>
          <w:tcPr>
            <w:tcW w:w="2245" w:type="dxa"/>
            <w:vMerge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4DFD5B" w14:textId="77777777" w:rsidR="005B3017" w:rsidRPr="000B2C66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FD62D3" w14:textId="6A00599C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To reduce or maintain low percentage of expulsions</w:t>
            </w:r>
          </w:p>
          <w:p w14:paraId="01C51F88" w14:textId="77777777" w:rsidR="005B3017" w:rsidRPr="000B2C66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5766F2" w14:textId="36BFE1D5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ED26A6">
              <w:rPr>
                <w:rFonts w:ascii="Times New Roman" w:hAnsi="Times New Roman" w:cs="Times New Roman"/>
                <w:sz w:val="24"/>
                <w:szCs w:val="24"/>
              </w:rPr>
              <w:t>asure percent of expulsions: .02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931A257" w14:textId="3C847046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 of stud</w:t>
            </w:r>
            <w:r w:rsidR="0041324E">
              <w:rPr>
                <w:rFonts w:ascii="Times New Roman" w:hAnsi="Times New Roman" w:cs="Times New Roman"/>
                <w:sz w:val="24"/>
                <w:szCs w:val="24"/>
              </w:rPr>
              <w:t>ents who feel safe at school: 8</w:t>
            </w:r>
            <w:r w:rsidR="007F0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1" w:type="dxa"/>
            <w:shd w:val="clear" w:color="auto" w:fill="FFFFFF" w:themeFill="background1"/>
          </w:tcPr>
          <w:p w14:paraId="5C49DCB4" w14:textId="256F639A" w:rsidR="005B3017" w:rsidRDefault="00ED26A6" w:rsidP="004265AF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B567C0" w:rsidRPr="00B567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02DC623" w14:textId="58C49B23" w:rsidR="00027608" w:rsidRPr="00B567C0" w:rsidRDefault="00027608" w:rsidP="00B00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72" w:type="dxa"/>
            <w:shd w:val="clear" w:color="auto" w:fill="FFFFFF" w:themeFill="background1"/>
          </w:tcPr>
          <w:p w14:paraId="033D8CA0" w14:textId="77777777" w:rsidR="005B3017" w:rsidRDefault="00B567C0" w:rsidP="00426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  <w:p w14:paraId="37170116" w14:textId="4C4A857E" w:rsidR="00027608" w:rsidRPr="00B567C0" w:rsidRDefault="00165353" w:rsidP="00B00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276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2" w:type="dxa"/>
            <w:shd w:val="clear" w:color="auto" w:fill="FFFFFF" w:themeFill="background1"/>
          </w:tcPr>
          <w:p w14:paraId="5B3ACEF1" w14:textId="77777777" w:rsidR="005B3017" w:rsidRDefault="00B567C0" w:rsidP="004265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  <w:p w14:paraId="089170B4" w14:textId="53A334DD" w:rsidR="00027608" w:rsidRPr="00B567C0" w:rsidRDefault="00027608" w:rsidP="00B00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5B3017" w:rsidRPr="000B2C66" w14:paraId="2B5F76D6" w14:textId="77777777" w:rsidTr="00B36FFF">
        <w:tc>
          <w:tcPr>
            <w:tcW w:w="22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7A880B" w14:textId="77777777" w:rsidR="005B3017" w:rsidRDefault="005B3017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Basic Services</w:t>
            </w:r>
          </w:p>
          <w:p w14:paraId="5D5280A6" w14:textId="77777777" w:rsidR="00CE05D0" w:rsidRDefault="00CE05D0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E3F50" w14:textId="77777777" w:rsidR="00CE05D0" w:rsidRDefault="00CE05D0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C631" w14:textId="77777777" w:rsidR="00CE05D0" w:rsidRDefault="00CE05D0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6D93" w14:textId="7F9689FA" w:rsidR="00CE05D0" w:rsidRPr="000B2C66" w:rsidRDefault="00CE05D0" w:rsidP="0089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A660B0" w14:textId="2A7AA8B0" w:rsidR="005B3017" w:rsidRDefault="005B3017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To provide and maintain </w:t>
            </w:r>
            <w:r w:rsidR="009D639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 xml:space="preserve">asic </w:t>
            </w:r>
            <w:r w:rsidR="009D63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ervices for students and schools</w:t>
            </w:r>
          </w:p>
          <w:p w14:paraId="4EDBFC66" w14:textId="686EC3F2" w:rsidR="00AA1FD0" w:rsidRDefault="00AA1FD0" w:rsidP="00896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3A4C" w14:textId="77777777" w:rsidR="005B3017" w:rsidRPr="000B2C66" w:rsidRDefault="005B3017" w:rsidP="009D63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4140D7" w14:textId="6DB13E30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Percentage of teachers that are appropriately credentialed for the student</w:t>
            </w:r>
            <w:r w:rsidR="006279ED">
              <w:rPr>
                <w:rFonts w:ascii="Times New Roman" w:hAnsi="Times New Roman" w:cs="Times New Roman"/>
                <w:sz w:val="24"/>
                <w:szCs w:val="24"/>
              </w:rPr>
              <w:t>s they are assigned to teach:  9</w:t>
            </w:r>
            <w:r w:rsidR="00D60679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176139AC" w14:textId="73E7DA1B" w:rsidR="005B3017" w:rsidRPr="000B2C66" w:rsidRDefault="004D7A33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 w:rsidR="000F74D5">
              <w:rPr>
                <w:rFonts w:ascii="Times New Roman" w:hAnsi="Times New Roman" w:cs="Times New Roman"/>
                <w:sz w:val="24"/>
                <w:szCs w:val="24"/>
              </w:rPr>
              <w:t xml:space="preserve">Early Education Center and Pre-K through 12 classroom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eacher</w:t>
            </w:r>
            <w:r w:rsidR="000F74D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0153B6">
              <w:rPr>
                <w:rFonts w:ascii="Times New Roman" w:hAnsi="Times New Roman" w:cs="Times New Roman"/>
                <w:sz w:val="24"/>
                <w:szCs w:val="24"/>
              </w:rPr>
              <w:t>who have</w:t>
            </w:r>
            <w:r w:rsidR="00E2774B">
              <w:rPr>
                <w:rFonts w:ascii="Times New Roman" w:hAnsi="Times New Roman" w:cs="Times New Roman"/>
                <w:sz w:val="24"/>
                <w:szCs w:val="24"/>
              </w:rPr>
              <w:t xml:space="preserve"> a final Educator Development and Support: Teacher (EDST) performance evaluation by the end of the school year</w:t>
            </w:r>
            <w:r w:rsidR="00386B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74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3017"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7EE2C7E" w14:textId="58A746F1" w:rsidR="005B3017" w:rsidRPr="000B2C66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Percentage of schools pr</w:t>
            </w:r>
            <w:r w:rsidR="005400B0">
              <w:rPr>
                <w:rFonts w:ascii="Times New Roman" w:hAnsi="Times New Roman" w:cs="Times New Roman"/>
                <w:sz w:val="24"/>
                <w:szCs w:val="24"/>
              </w:rPr>
              <w:t>oviding students with standards-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based instructional materials by meeting Williams Act requirements: 100%</w:t>
            </w:r>
          </w:p>
          <w:p w14:paraId="69C537F1" w14:textId="3D192EE9" w:rsidR="005B3017" w:rsidRDefault="005B3017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Percentage of facilit</w:t>
            </w:r>
            <w:r w:rsidR="007F0996">
              <w:rPr>
                <w:rFonts w:ascii="Times New Roman" w:hAnsi="Times New Roman" w:cs="Times New Roman"/>
                <w:sz w:val="24"/>
                <w:szCs w:val="24"/>
              </w:rPr>
              <w:t xml:space="preserve">ies that are in good repair: </w:t>
            </w:r>
            <w:r w:rsidR="00D87E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2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04F320C" w14:textId="711DC570" w:rsidR="002C5328" w:rsidRDefault="00B56EF4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Percentage of children whose eligibility for special education serviced were determined within 60 days of guidelines</w:t>
            </w:r>
            <w:r w:rsidR="008749C1">
              <w:rPr>
                <w:rFonts w:ascii="Times New Roman" w:hAnsi="Times New Roman" w:cs="Times New Roman"/>
                <w:sz w:val="24"/>
                <w:szCs w:val="24"/>
              </w:rPr>
              <w:t>:  99.96%</w:t>
            </w:r>
          </w:p>
          <w:p w14:paraId="572D894E" w14:textId="7CA90B6D" w:rsidR="00245691" w:rsidRPr="000B2C66" w:rsidRDefault="00245691" w:rsidP="005663D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32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with disabilities receive services specified in their Individualized Education Plan (IEPs)</w:t>
            </w:r>
            <w:r w:rsidR="002D3542">
              <w:rPr>
                <w:rFonts w:ascii="Times New Roman" w:hAnsi="Times New Roman" w:cs="Times New Roman"/>
                <w:sz w:val="24"/>
                <w:szCs w:val="24"/>
              </w:rPr>
              <w:t>:  92.5%</w:t>
            </w:r>
          </w:p>
        </w:tc>
        <w:tc>
          <w:tcPr>
            <w:tcW w:w="1471" w:type="dxa"/>
            <w:shd w:val="clear" w:color="auto" w:fill="FFFFFF" w:themeFill="background1"/>
          </w:tcPr>
          <w:p w14:paraId="5CC711A8" w14:textId="77777777" w:rsidR="005B3017" w:rsidRDefault="00E42D59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14:paraId="5BFD32AC" w14:textId="77777777" w:rsidR="00386B74" w:rsidRDefault="00386B74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DC5C1" w14:textId="77777777" w:rsidR="00386B74" w:rsidRDefault="00386B74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AB303" w14:textId="77777777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65784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14:paraId="35583F6A" w14:textId="77777777" w:rsidR="008E46E7" w:rsidRDefault="008E46E7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A4E5" w14:textId="77777777" w:rsidR="008E46E7" w:rsidRDefault="008E46E7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72F16" w14:textId="77777777" w:rsidR="00E2774B" w:rsidRDefault="00E2774B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629B2" w14:textId="77777777" w:rsidR="00E2774B" w:rsidRDefault="00E2774B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68AC2" w14:textId="77777777" w:rsidR="00B73280" w:rsidRDefault="00B73280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A16F" w14:textId="260C5D5D" w:rsidR="008E46E7" w:rsidRDefault="008E46E7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6324FAA9" w14:textId="77777777" w:rsidR="008E46E7" w:rsidRDefault="008E46E7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0F58" w14:textId="77777777" w:rsidR="008E46E7" w:rsidRDefault="008E46E7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9A141" w14:textId="77777777" w:rsidR="008E46E7" w:rsidRDefault="008E46E7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FC42" w14:textId="77777777" w:rsidR="00402215" w:rsidRDefault="00E2774B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F09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2685548" w14:textId="77777777" w:rsidR="00B56EF4" w:rsidRDefault="00B56EF4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74D0" w14:textId="5DEC60C8" w:rsidR="00B56EF4" w:rsidRDefault="00B56EF4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</w:t>
            </w:r>
          </w:p>
          <w:p w14:paraId="702BA5CF" w14:textId="77777777" w:rsidR="00245691" w:rsidRDefault="00245691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E996" w14:textId="77777777" w:rsidR="00245691" w:rsidRDefault="00245691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21534" w14:textId="77777777" w:rsidR="00245691" w:rsidRDefault="00245691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7439D" w14:textId="77777777" w:rsidR="002D3542" w:rsidRDefault="002D3542" w:rsidP="004C56E5">
            <w:pPr>
              <w:autoSpaceDE w:val="0"/>
              <w:autoSpaceDN w:val="0"/>
              <w:adjustRightInd w:val="0"/>
              <w:ind w:lef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5371" w14:textId="68F9A67D" w:rsidR="00245691" w:rsidRDefault="00245691" w:rsidP="00B73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  <w:p w14:paraId="08F963A2" w14:textId="4801D9A1" w:rsidR="00B56EF4" w:rsidRPr="007948F7" w:rsidRDefault="00B56EF4" w:rsidP="00B56EF4">
            <w:pPr>
              <w:autoSpaceDE w:val="0"/>
              <w:autoSpaceDN w:val="0"/>
              <w:adjustRightInd w:val="0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14:paraId="033CEADB" w14:textId="77777777" w:rsidR="005B3017" w:rsidRDefault="00E42D59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14:paraId="530A9006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266C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F1D2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1664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14:paraId="1765BBBE" w14:textId="77777777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03174" w14:textId="77777777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6F2D" w14:textId="77777777" w:rsidR="00E2774B" w:rsidRDefault="00E2774B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DF32" w14:textId="77777777" w:rsidR="00E2774B" w:rsidRDefault="00E2774B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C5DFB" w14:textId="77777777" w:rsidR="00B73280" w:rsidRDefault="00B73280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5DFD1" w14:textId="4FE60360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0FB7FCDE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C7D02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7D94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C42D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38F7E54A" w14:textId="77777777" w:rsidR="00B56EF4" w:rsidRDefault="00B56EF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0DB1" w14:textId="77777777" w:rsidR="00B56EF4" w:rsidRDefault="00B56EF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88%</w:t>
            </w:r>
          </w:p>
          <w:p w14:paraId="731B055B" w14:textId="77777777" w:rsidR="00245691" w:rsidRDefault="00245691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96DE4" w14:textId="77777777" w:rsidR="00245691" w:rsidRDefault="00245691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AB27" w14:textId="77777777" w:rsidR="00245691" w:rsidRDefault="00245691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23F0" w14:textId="77777777" w:rsidR="002D3542" w:rsidRDefault="002D3542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FFB6" w14:textId="376B5EF7" w:rsidR="00245691" w:rsidRPr="00E42D59" w:rsidRDefault="00245691" w:rsidP="00B73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72" w:type="dxa"/>
            <w:shd w:val="clear" w:color="auto" w:fill="FFFFFF" w:themeFill="background1"/>
          </w:tcPr>
          <w:p w14:paraId="3FB71CD5" w14:textId="77777777" w:rsidR="005B3017" w:rsidRDefault="00E42D59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  <w:p w14:paraId="6ED9FF4D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42AB4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0D70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D658" w14:textId="77777777" w:rsidR="00386B74" w:rsidRDefault="00386B7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14:paraId="64E19082" w14:textId="77777777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1C150" w14:textId="77777777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A76CD" w14:textId="77777777" w:rsidR="00E2774B" w:rsidRDefault="00E2774B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C7735" w14:textId="77777777" w:rsidR="00E2774B" w:rsidRDefault="00E2774B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80D94" w14:textId="77777777" w:rsidR="00B73280" w:rsidRDefault="00B73280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0D1C" w14:textId="494E336F" w:rsidR="008E46E7" w:rsidRDefault="008E46E7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606AE082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3C672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100D9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7DFF0" w14:textId="77777777" w:rsidR="007F0996" w:rsidRDefault="007F0996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66F6AC76" w14:textId="77777777" w:rsidR="00B56EF4" w:rsidRDefault="00B56EF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2EB67" w14:textId="77777777" w:rsidR="00B56EF4" w:rsidRDefault="00B56EF4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89%</w:t>
            </w:r>
          </w:p>
          <w:p w14:paraId="59CD9633" w14:textId="77777777" w:rsidR="00245691" w:rsidRDefault="00245691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FCD1" w14:textId="77777777" w:rsidR="00245691" w:rsidRDefault="00245691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B30C" w14:textId="77777777" w:rsidR="00245691" w:rsidRDefault="00245691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AC9F" w14:textId="77777777" w:rsidR="002D3542" w:rsidRDefault="002D3542" w:rsidP="004C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DC5A" w14:textId="1EEC2735" w:rsidR="00245691" w:rsidRPr="00E42D59" w:rsidRDefault="00245691" w:rsidP="00B732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</w:tbl>
    <w:p w14:paraId="085EB940" w14:textId="75AC0A87" w:rsidR="00425594" w:rsidRDefault="00B72201" w:rsidP="003E5860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Information</w:t>
      </w:r>
      <w:r w:rsidR="0057394B">
        <w:rPr>
          <w:rFonts w:cstheme="minorHAnsi"/>
        </w:rPr>
        <w:t xml:space="preserve"> </w:t>
      </w:r>
      <w:r w:rsidR="0057394B" w:rsidRPr="00803AD1">
        <w:rPr>
          <w:rFonts w:cstheme="minorHAnsi"/>
          <w:color w:val="000000" w:themeColor="text1"/>
        </w:rPr>
        <w:t xml:space="preserve">based on </w:t>
      </w:r>
      <w:r w:rsidR="002D53C6" w:rsidRPr="00803AD1">
        <w:rPr>
          <w:rFonts w:cstheme="minorHAnsi"/>
          <w:color w:val="000000" w:themeColor="text1"/>
        </w:rPr>
        <w:t xml:space="preserve">L.A. UNIFIED </w:t>
      </w:r>
      <w:r w:rsidR="003C4D21">
        <w:rPr>
          <w:rFonts w:cstheme="minorHAnsi"/>
        </w:rPr>
        <w:t xml:space="preserve">LCAP SCORECARD dated June </w:t>
      </w:r>
      <w:r w:rsidR="00CF47D0">
        <w:rPr>
          <w:rFonts w:cstheme="minorHAnsi"/>
        </w:rPr>
        <w:t>19, 2019</w:t>
      </w:r>
      <w:r w:rsidR="003C4D21">
        <w:rPr>
          <w:rFonts w:cstheme="minorHAnsi"/>
        </w:rPr>
        <w:t>.</w:t>
      </w:r>
    </w:p>
    <w:sectPr w:rsidR="00425594" w:rsidSect="00335976">
      <w:headerReference w:type="default" r:id="rId9"/>
      <w:footerReference w:type="default" r:id="rId10"/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01877" w14:textId="77777777" w:rsidR="0018186A" w:rsidRDefault="0018186A" w:rsidP="00986244">
      <w:pPr>
        <w:spacing w:after="0" w:line="240" w:lineRule="auto"/>
      </w:pPr>
      <w:r>
        <w:separator/>
      </w:r>
    </w:p>
  </w:endnote>
  <w:endnote w:type="continuationSeparator" w:id="0">
    <w:p w14:paraId="3C614986" w14:textId="77777777" w:rsidR="0018186A" w:rsidRDefault="0018186A" w:rsidP="0098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䔥鄈跜Ƅ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7C922" w14:textId="77777777" w:rsidR="00B35F0F" w:rsidRPr="00B35F0F" w:rsidRDefault="00B35F0F">
    <w:pPr>
      <w:pStyle w:val="Footer"/>
      <w:jc w:val="center"/>
      <w:rPr>
        <w:color w:val="000000" w:themeColor="text1"/>
      </w:rPr>
    </w:pPr>
    <w:r w:rsidRPr="00B35F0F">
      <w:rPr>
        <w:color w:val="000000" w:themeColor="text1"/>
      </w:rPr>
      <w:t xml:space="preserve">Page </w:t>
    </w:r>
    <w:r w:rsidRPr="00B35F0F">
      <w:rPr>
        <w:color w:val="000000" w:themeColor="text1"/>
      </w:rPr>
      <w:fldChar w:fldCharType="begin"/>
    </w:r>
    <w:r w:rsidRPr="00B35F0F">
      <w:rPr>
        <w:color w:val="000000" w:themeColor="text1"/>
      </w:rPr>
      <w:instrText xml:space="preserve"> PAGE  \* Arabic  \* MERGEFORMAT </w:instrText>
    </w:r>
    <w:r w:rsidRPr="00B35F0F">
      <w:rPr>
        <w:color w:val="000000" w:themeColor="text1"/>
      </w:rPr>
      <w:fldChar w:fldCharType="separate"/>
    </w:r>
    <w:r w:rsidR="00E54436">
      <w:rPr>
        <w:noProof/>
        <w:color w:val="000000" w:themeColor="text1"/>
      </w:rPr>
      <w:t>1</w:t>
    </w:r>
    <w:r w:rsidRPr="00B35F0F">
      <w:rPr>
        <w:color w:val="000000" w:themeColor="text1"/>
      </w:rPr>
      <w:fldChar w:fldCharType="end"/>
    </w:r>
    <w:r w:rsidRPr="00B35F0F">
      <w:rPr>
        <w:color w:val="000000" w:themeColor="text1"/>
      </w:rPr>
      <w:t xml:space="preserve"> of </w:t>
    </w:r>
    <w:r w:rsidRPr="00B35F0F">
      <w:rPr>
        <w:color w:val="000000" w:themeColor="text1"/>
      </w:rPr>
      <w:fldChar w:fldCharType="begin"/>
    </w:r>
    <w:r w:rsidRPr="00B35F0F">
      <w:rPr>
        <w:color w:val="000000" w:themeColor="text1"/>
      </w:rPr>
      <w:instrText xml:space="preserve"> NUMPAGES  \* Arabic  \* MERGEFORMAT </w:instrText>
    </w:r>
    <w:r w:rsidRPr="00B35F0F">
      <w:rPr>
        <w:color w:val="000000" w:themeColor="text1"/>
      </w:rPr>
      <w:fldChar w:fldCharType="separate"/>
    </w:r>
    <w:r w:rsidR="00E54436">
      <w:rPr>
        <w:noProof/>
        <w:color w:val="000000" w:themeColor="text1"/>
      </w:rPr>
      <w:t>5</w:t>
    </w:r>
    <w:r w:rsidRPr="00B35F0F">
      <w:rPr>
        <w:color w:val="000000" w:themeColor="text1"/>
      </w:rPr>
      <w:fldChar w:fldCharType="end"/>
    </w:r>
  </w:p>
  <w:p w14:paraId="63FFB911" w14:textId="77777777" w:rsidR="00B35F0F" w:rsidRDefault="00B35F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53657" w14:textId="77777777" w:rsidR="0018186A" w:rsidRDefault="0018186A" w:rsidP="00986244">
      <w:pPr>
        <w:spacing w:after="0" w:line="240" w:lineRule="auto"/>
      </w:pPr>
      <w:r>
        <w:separator/>
      </w:r>
    </w:p>
  </w:footnote>
  <w:footnote w:type="continuationSeparator" w:id="0">
    <w:p w14:paraId="28C714E6" w14:textId="77777777" w:rsidR="0018186A" w:rsidRDefault="0018186A" w:rsidP="0098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05761" w14:textId="77777777" w:rsidR="00986244" w:rsidRPr="00986244" w:rsidRDefault="00986244" w:rsidP="00986244">
    <w:pPr>
      <w:pStyle w:val="Header"/>
      <w:jc w:val="center"/>
      <w:rPr>
        <w:sz w:val="20"/>
      </w:rPr>
    </w:pPr>
    <w:r w:rsidRPr="00986244">
      <w:rPr>
        <w:sz w:val="20"/>
      </w:rPr>
      <w:t>Los Angeles Unified School District</w:t>
    </w:r>
  </w:p>
  <w:p w14:paraId="1874E9ED" w14:textId="6965B63A" w:rsidR="00986244" w:rsidRDefault="00986244" w:rsidP="00986244">
    <w:pPr>
      <w:pStyle w:val="Header"/>
      <w:jc w:val="center"/>
      <w:rPr>
        <w:i/>
        <w:sz w:val="24"/>
      </w:rPr>
    </w:pPr>
    <w:r w:rsidRPr="00986244">
      <w:rPr>
        <w:i/>
        <w:sz w:val="24"/>
      </w:rPr>
      <w:t>Division of Instruction</w:t>
    </w:r>
  </w:p>
  <w:p w14:paraId="7E0CD0B1" w14:textId="61F31224" w:rsidR="00AA1FD0" w:rsidRPr="001A3550" w:rsidRDefault="00AA1FD0" w:rsidP="00986244">
    <w:pPr>
      <w:pStyle w:val="Header"/>
      <w:jc w:val="center"/>
      <w:rPr>
        <w:rFonts w:ascii="Georgia" w:hAnsi="Georgia"/>
        <w:i/>
        <w:color w:val="000000" w:themeColor="text1"/>
        <w:sz w:val="24"/>
      </w:rPr>
    </w:pPr>
    <w:r w:rsidRPr="001A3550">
      <w:rPr>
        <w:rFonts w:ascii="Georgia" w:hAnsi="Georgia"/>
        <w:i/>
        <w:color w:val="000000" w:themeColor="text1"/>
        <w:sz w:val="24"/>
      </w:rPr>
      <w:t>Advanced Learning Options</w:t>
    </w:r>
  </w:p>
  <w:p w14:paraId="583ED9BA" w14:textId="77777777" w:rsidR="00986244" w:rsidRDefault="00986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3178"/>
    <w:multiLevelType w:val="hybridMultilevel"/>
    <w:tmpl w:val="0720ACD4"/>
    <w:lvl w:ilvl="0" w:tplc="199491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1DEA"/>
    <w:multiLevelType w:val="hybridMultilevel"/>
    <w:tmpl w:val="9426E2B0"/>
    <w:lvl w:ilvl="0" w:tplc="199491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2F"/>
    <w:rsid w:val="000073A8"/>
    <w:rsid w:val="00011862"/>
    <w:rsid w:val="000153B6"/>
    <w:rsid w:val="00023CEA"/>
    <w:rsid w:val="00027608"/>
    <w:rsid w:val="00033D46"/>
    <w:rsid w:val="00046B8E"/>
    <w:rsid w:val="0005048A"/>
    <w:rsid w:val="00055BCA"/>
    <w:rsid w:val="000575B1"/>
    <w:rsid w:val="00057A5A"/>
    <w:rsid w:val="00071C80"/>
    <w:rsid w:val="00080618"/>
    <w:rsid w:val="00087E7F"/>
    <w:rsid w:val="0009662A"/>
    <w:rsid w:val="000A2952"/>
    <w:rsid w:val="000A76F1"/>
    <w:rsid w:val="000B37DD"/>
    <w:rsid w:val="000B72A3"/>
    <w:rsid w:val="000C5FFC"/>
    <w:rsid w:val="000C62BD"/>
    <w:rsid w:val="000D1AB3"/>
    <w:rsid w:val="000D73E0"/>
    <w:rsid w:val="000E2150"/>
    <w:rsid w:val="000E42B9"/>
    <w:rsid w:val="000F0AF9"/>
    <w:rsid w:val="000F74D5"/>
    <w:rsid w:val="00114E06"/>
    <w:rsid w:val="00121018"/>
    <w:rsid w:val="001261F4"/>
    <w:rsid w:val="001322B0"/>
    <w:rsid w:val="00134B1C"/>
    <w:rsid w:val="00147E76"/>
    <w:rsid w:val="00153201"/>
    <w:rsid w:val="00164476"/>
    <w:rsid w:val="00165353"/>
    <w:rsid w:val="00166EA6"/>
    <w:rsid w:val="001712E2"/>
    <w:rsid w:val="0018186A"/>
    <w:rsid w:val="00184E7D"/>
    <w:rsid w:val="00185C6D"/>
    <w:rsid w:val="00190C3A"/>
    <w:rsid w:val="001A3550"/>
    <w:rsid w:val="001B63E8"/>
    <w:rsid w:val="001B7580"/>
    <w:rsid w:val="001C0FEA"/>
    <w:rsid w:val="001E474C"/>
    <w:rsid w:val="001F396F"/>
    <w:rsid w:val="002038A1"/>
    <w:rsid w:val="002062E1"/>
    <w:rsid w:val="00212B9A"/>
    <w:rsid w:val="00216760"/>
    <w:rsid w:val="00222621"/>
    <w:rsid w:val="00235E55"/>
    <w:rsid w:val="0024127F"/>
    <w:rsid w:val="002445D1"/>
    <w:rsid w:val="00245691"/>
    <w:rsid w:val="002532EE"/>
    <w:rsid w:val="00261824"/>
    <w:rsid w:val="002637A4"/>
    <w:rsid w:val="00266D9E"/>
    <w:rsid w:val="0027351B"/>
    <w:rsid w:val="00274FC8"/>
    <w:rsid w:val="0027617B"/>
    <w:rsid w:val="002772D7"/>
    <w:rsid w:val="0029132E"/>
    <w:rsid w:val="002A3740"/>
    <w:rsid w:val="002A5F9A"/>
    <w:rsid w:val="002A6A05"/>
    <w:rsid w:val="002B508C"/>
    <w:rsid w:val="002C1E34"/>
    <w:rsid w:val="002C5328"/>
    <w:rsid w:val="002D3542"/>
    <w:rsid w:val="002D53C6"/>
    <w:rsid w:val="002E0F72"/>
    <w:rsid w:val="00323C90"/>
    <w:rsid w:val="003261CC"/>
    <w:rsid w:val="003312E2"/>
    <w:rsid w:val="00335976"/>
    <w:rsid w:val="00340315"/>
    <w:rsid w:val="003410B4"/>
    <w:rsid w:val="00342F56"/>
    <w:rsid w:val="0034352A"/>
    <w:rsid w:val="00343BD0"/>
    <w:rsid w:val="00380AAC"/>
    <w:rsid w:val="003818B0"/>
    <w:rsid w:val="003824CC"/>
    <w:rsid w:val="00386B74"/>
    <w:rsid w:val="00387862"/>
    <w:rsid w:val="0039666F"/>
    <w:rsid w:val="003A04A0"/>
    <w:rsid w:val="003B2661"/>
    <w:rsid w:val="003B523E"/>
    <w:rsid w:val="003B5544"/>
    <w:rsid w:val="003C4D21"/>
    <w:rsid w:val="003D0E45"/>
    <w:rsid w:val="003D7F27"/>
    <w:rsid w:val="003E45F3"/>
    <w:rsid w:val="003E5860"/>
    <w:rsid w:val="003E6FC0"/>
    <w:rsid w:val="003F2BB2"/>
    <w:rsid w:val="004005C9"/>
    <w:rsid w:val="00401A4F"/>
    <w:rsid w:val="00402215"/>
    <w:rsid w:val="004022A5"/>
    <w:rsid w:val="0041301D"/>
    <w:rsid w:val="0041324E"/>
    <w:rsid w:val="00421DFD"/>
    <w:rsid w:val="00424732"/>
    <w:rsid w:val="00425594"/>
    <w:rsid w:val="004265AF"/>
    <w:rsid w:val="004316F6"/>
    <w:rsid w:val="004317CB"/>
    <w:rsid w:val="004321A5"/>
    <w:rsid w:val="0043590D"/>
    <w:rsid w:val="0044383E"/>
    <w:rsid w:val="00451AA1"/>
    <w:rsid w:val="004574A8"/>
    <w:rsid w:val="00457E7F"/>
    <w:rsid w:val="00466B2D"/>
    <w:rsid w:val="00467E47"/>
    <w:rsid w:val="00471CF7"/>
    <w:rsid w:val="00473EBD"/>
    <w:rsid w:val="00476D93"/>
    <w:rsid w:val="00476DA3"/>
    <w:rsid w:val="00477318"/>
    <w:rsid w:val="00480DC3"/>
    <w:rsid w:val="0048159C"/>
    <w:rsid w:val="00487AB5"/>
    <w:rsid w:val="004B2633"/>
    <w:rsid w:val="004B4A5C"/>
    <w:rsid w:val="004C4188"/>
    <w:rsid w:val="004C56E5"/>
    <w:rsid w:val="004C635D"/>
    <w:rsid w:val="004C6C3B"/>
    <w:rsid w:val="004C766C"/>
    <w:rsid w:val="004D7A33"/>
    <w:rsid w:val="004E4E4B"/>
    <w:rsid w:val="004E4E88"/>
    <w:rsid w:val="004F6273"/>
    <w:rsid w:val="0050093A"/>
    <w:rsid w:val="00504A65"/>
    <w:rsid w:val="0050540E"/>
    <w:rsid w:val="005121F7"/>
    <w:rsid w:val="00515233"/>
    <w:rsid w:val="00534F68"/>
    <w:rsid w:val="005400B0"/>
    <w:rsid w:val="00555C12"/>
    <w:rsid w:val="00556FA7"/>
    <w:rsid w:val="00561525"/>
    <w:rsid w:val="0056393C"/>
    <w:rsid w:val="00563E34"/>
    <w:rsid w:val="005649CB"/>
    <w:rsid w:val="005663DB"/>
    <w:rsid w:val="005671A7"/>
    <w:rsid w:val="0057394B"/>
    <w:rsid w:val="005762A7"/>
    <w:rsid w:val="005772C8"/>
    <w:rsid w:val="00580AEB"/>
    <w:rsid w:val="0058538F"/>
    <w:rsid w:val="00587B6F"/>
    <w:rsid w:val="00595D76"/>
    <w:rsid w:val="005A2DB6"/>
    <w:rsid w:val="005B2E3B"/>
    <w:rsid w:val="005B3017"/>
    <w:rsid w:val="005E0DDA"/>
    <w:rsid w:val="00602D1C"/>
    <w:rsid w:val="006036AC"/>
    <w:rsid w:val="00604EED"/>
    <w:rsid w:val="00605A57"/>
    <w:rsid w:val="006075AD"/>
    <w:rsid w:val="0062067B"/>
    <w:rsid w:val="00626786"/>
    <w:rsid w:val="006279ED"/>
    <w:rsid w:val="00630B68"/>
    <w:rsid w:val="00651878"/>
    <w:rsid w:val="00651E98"/>
    <w:rsid w:val="006549ED"/>
    <w:rsid w:val="00656450"/>
    <w:rsid w:val="00666573"/>
    <w:rsid w:val="006715DD"/>
    <w:rsid w:val="00672291"/>
    <w:rsid w:val="0067597A"/>
    <w:rsid w:val="00687549"/>
    <w:rsid w:val="00690449"/>
    <w:rsid w:val="006939F3"/>
    <w:rsid w:val="006A0385"/>
    <w:rsid w:val="006A2A20"/>
    <w:rsid w:val="006A2D0D"/>
    <w:rsid w:val="006B1994"/>
    <w:rsid w:val="006B7BDC"/>
    <w:rsid w:val="006D20C0"/>
    <w:rsid w:val="006D7BE9"/>
    <w:rsid w:val="00701DA9"/>
    <w:rsid w:val="0070671F"/>
    <w:rsid w:val="007152EF"/>
    <w:rsid w:val="00743CFB"/>
    <w:rsid w:val="007448CA"/>
    <w:rsid w:val="007864AF"/>
    <w:rsid w:val="00792BC8"/>
    <w:rsid w:val="007948F7"/>
    <w:rsid w:val="007A0E71"/>
    <w:rsid w:val="007A6CF5"/>
    <w:rsid w:val="007C3CE2"/>
    <w:rsid w:val="007C42EA"/>
    <w:rsid w:val="007D088A"/>
    <w:rsid w:val="007E173D"/>
    <w:rsid w:val="007E27F1"/>
    <w:rsid w:val="007E5CA1"/>
    <w:rsid w:val="007E6755"/>
    <w:rsid w:val="007F05D9"/>
    <w:rsid w:val="007F05F7"/>
    <w:rsid w:val="007F0996"/>
    <w:rsid w:val="00802204"/>
    <w:rsid w:val="00803AD1"/>
    <w:rsid w:val="0080670D"/>
    <w:rsid w:val="00810705"/>
    <w:rsid w:val="00811B5B"/>
    <w:rsid w:val="00811F55"/>
    <w:rsid w:val="0082173A"/>
    <w:rsid w:val="00822CC1"/>
    <w:rsid w:val="00826BF8"/>
    <w:rsid w:val="008374D3"/>
    <w:rsid w:val="00843A38"/>
    <w:rsid w:val="0084479B"/>
    <w:rsid w:val="0084697B"/>
    <w:rsid w:val="00850DEF"/>
    <w:rsid w:val="00857338"/>
    <w:rsid w:val="00874714"/>
    <w:rsid w:val="008749C1"/>
    <w:rsid w:val="00882DD6"/>
    <w:rsid w:val="008912E5"/>
    <w:rsid w:val="008A2B76"/>
    <w:rsid w:val="008A3CB2"/>
    <w:rsid w:val="008A624D"/>
    <w:rsid w:val="008C2DCC"/>
    <w:rsid w:val="008D05DD"/>
    <w:rsid w:val="008E46E7"/>
    <w:rsid w:val="008E766E"/>
    <w:rsid w:val="008F2EF7"/>
    <w:rsid w:val="008F3090"/>
    <w:rsid w:val="00903BBE"/>
    <w:rsid w:val="009127CF"/>
    <w:rsid w:val="00912DAB"/>
    <w:rsid w:val="009319CF"/>
    <w:rsid w:val="009353D5"/>
    <w:rsid w:val="00942034"/>
    <w:rsid w:val="009449C9"/>
    <w:rsid w:val="00945D12"/>
    <w:rsid w:val="00947C63"/>
    <w:rsid w:val="0096452F"/>
    <w:rsid w:val="00967C4C"/>
    <w:rsid w:val="00971DBF"/>
    <w:rsid w:val="00986244"/>
    <w:rsid w:val="00990437"/>
    <w:rsid w:val="00991F84"/>
    <w:rsid w:val="009927E7"/>
    <w:rsid w:val="00993D67"/>
    <w:rsid w:val="009943AC"/>
    <w:rsid w:val="00994F6A"/>
    <w:rsid w:val="009A7827"/>
    <w:rsid w:val="009B273D"/>
    <w:rsid w:val="009B3D00"/>
    <w:rsid w:val="009B45D5"/>
    <w:rsid w:val="009C59C9"/>
    <w:rsid w:val="009D0C9F"/>
    <w:rsid w:val="009D1EA0"/>
    <w:rsid w:val="009D4770"/>
    <w:rsid w:val="009D6391"/>
    <w:rsid w:val="009E1C4A"/>
    <w:rsid w:val="009F3860"/>
    <w:rsid w:val="00A15584"/>
    <w:rsid w:val="00A37905"/>
    <w:rsid w:val="00A420C9"/>
    <w:rsid w:val="00A603DE"/>
    <w:rsid w:val="00A67204"/>
    <w:rsid w:val="00AA0DB6"/>
    <w:rsid w:val="00AA1FD0"/>
    <w:rsid w:val="00AA735F"/>
    <w:rsid w:val="00AB0AE2"/>
    <w:rsid w:val="00AB4AFF"/>
    <w:rsid w:val="00AC3301"/>
    <w:rsid w:val="00AC757C"/>
    <w:rsid w:val="00AD7EE3"/>
    <w:rsid w:val="00AE557E"/>
    <w:rsid w:val="00AE5912"/>
    <w:rsid w:val="00AF35DE"/>
    <w:rsid w:val="00AF723B"/>
    <w:rsid w:val="00B00063"/>
    <w:rsid w:val="00B03C5C"/>
    <w:rsid w:val="00B171C3"/>
    <w:rsid w:val="00B238E1"/>
    <w:rsid w:val="00B26BED"/>
    <w:rsid w:val="00B27407"/>
    <w:rsid w:val="00B322C7"/>
    <w:rsid w:val="00B35F0F"/>
    <w:rsid w:val="00B36FFF"/>
    <w:rsid w:val="00B50DB0"/>
    <w:rsid w:val="00B51B44"/>
    <w:rsid w:val="00B567C0"/>
    <w:rsid w:val="00B56B59"/>
    <w:rsid w:val="00B56EF4"/>
    <w:rsid w:val="00B62D7D"/>
    <w:rsid w:val="00B67017"/>
    <w:rsid w:val="00B72201"/>
    <w:rsid w:val="00B73280"/>
    <w:rsid w:val="00B81E6F"/>
    <w:rsid w:val="00B83CB7"/>
    <w:rsid w:val="00B93586"/>
    <w:rsid w:val="00B96E17"/>
    <w:rsid w:val="00BA310F"/>
    <w:rsid w:val="00BA4943"/>
    <w:rsid w:val="00BA66AE"/>
    <w:rsid w:val="00BB3391"/>
    <w:rsid w:val="00BC60D3"/>
    <w:rsid w:val="00BC6DB1"/>
    <w:rsid w:val="00BE2C52"/>
    <w:rsid w:val="00BF638D"/>
    <w:rsid w:val="00C059C4"/>
    <w:rsid w:val="00C10893"/>
    <w:rsid w:val="00C17853"/>
    <w:rsid w:val="00C17A73"/>
    <w:rsid w:val="00C3658E"/>
    <w:rsid w:val="00C5341F"/>
    <w:rsid w:val="00C53680"/>
    <w:rsid w:val="00C53683"/>
    <w:rsid w:val="00C55879"/>
    <w:rsid w:val="00C66F0B"/>
    <w:rsid w:val="00C81E47"/>
    <w:rsid w:val="00C87E8D"/>
    <w:rsid w:val="00C97F61"/>
    <w:rsid w:val="00CA41F4"/>
    <w:rsid w:val="00CA5FFE"/>
    <w:rsid w:val="00CB133A"/>
    <w:rsid w:val="00CB2B3B"/>
    <w:rsid w:val="00CB7628"/>
    <w:rsid w:val="00CC06C3"/>
    <w:rsid w:val="00CE05D0"/>
    <w:rsid w:val="00CE43FC"/>
    <w:rsid w:val="00CE4FD3"/>
    <w:rsid w:val="00CE6DD7"/>
    <w:rsid w:val="00CE7B48"/>
    <w:rsid w:val="00CF20BA"/>
    <w:rsid w:val="00CF47D0"/>
    <w:rsid w:val="00CF4C65"/>
    <w:rsid w:val="00D27B64"/>
    <w:rsid w:val="00D318C2"/>
    <w:rsid w:val="00D3364F"/>
    <w:rsid w:val="00D34299"/>
    <w:rsid w:val="00D35362"/>
    <w:rsid w:val="00D40699"/>
    <w:rsid w:val="00D43465"/>
    <w:rsid w:val="00D4523D"/>
    <w:rsid w:val="00D50BC7"/>
    <w:rsid w:val="00D552B6"/>
    <w:rsid w:val="00D60679"/>
    <w:rsid w:val="00D6450A"/>
    <w:rsid w:val="00D70086"/>
    <w:rsid w:val="00D72075"/>
    <w:rsid w:val="00D8117D"/>
    <w:rsid w:val="00D831AC"/>
    <w:rsid w:val="00D83358"/>
    <w:rsid w:val="00D862C6"/>
    <w:rsid w:val="00D87E52"/>
    <w:rsid w:val="00D90332"/>
    <w:rsid w:val="00D96706"/>
    <w:rsid w:val="00D9753D"/>
    <w:rsid w:val="00DA3FA8"/>
    <w:rsid w:val="00DB0A88"/>
    <w:rsid w:val="00DB650C"/>
    <w:rsid w:val="00DC6E3A"/>
    <w:rsid w:val="00DD1A49"/>
    <w:rsid w:val="00DD59F8"/>
    <w:rsid w:val="00DD76D5"/>
    <w:rsid w:val="00DE2C7F"/>
    <w:rsid w:val="00DF1B2F"/>
    <w:rsid w:val="00DF609D"/>
    <w:rsid w:val="00E0456B"/>
    <w:rsid w:val="00E06BAE"/>
    <w:rsid w:val="00E070E1"/>
    <w:rsid w:val="00E102FE"/>
    <w:rsid w:val="00E15018"/>
    <w:rsid w:val="00E2774B"/>
    <w:rsid w:val="00E3240C"/>
    <w:rsid w:val="00E41E46"/>
    <w:rsid w:val="00E42D59"/>
    <w:rsid w:val="00E54436"/>
    <w:rsid w:val="00E56906"/>
    <w:rsid w:val="00E672D0"/>
    <w:rsid w:val="00E74998"/>
    <w:rsid w:val="00E753AC"/>
    <w:rsid w:val="00E948A5"/>
    <w:rsid w:val="00EA2138"/>
    <w:rsid w:val="00EB08E7"/>
    <w:rsid w:val="00EB2F28"/>
    <w:rsid w:val="00EC5129"/>
    <w:rsid w:val="00ED0523"/>
    <w:rsid w:val="00ED26A6"/>
    <w:rsid w:val="00EE34CA"/>
    <w:rsid w:val="00EF3654"/>
    <w:rsid w:val="00EF6BD3"/>
    <w:rsid w:val="00F016CD"/>
    <w:rsid w:val="00F067BE"/>
    <w:rsid w:val="00F07761"/>
    <w:rsid w:val="00F23714"/>
    <w:rsid w:val="00F2661D"/>
    <w:rsid w:val="00F56BA7"/>
    <w:rsid w:val="00F574A3"/>
    <w:rsid w:val="00F60B17"/>
    <w:rsid w:val="00F72005"/>
    <w:rsid w:val="00F747C5"/>
    <w:rsid w:val="00F84345"/>
    <w:rsid w:val="00F913D4"/>
    <w:rsid w:val="00F93AC8"/>
    <w:rsid w:val="00F94C45"/>
    <w:rsid w:val="00FA2DCB"/>
    <w:rsid w:val="00FA410C"/>
    <w:rsid w:val="00FA7B0E"/>
    <w:rsid w:val="00FC45B4"/>
    <w:rsid w:val="00FD12B4"/>
    <w:rsid w:val="00FD2B64"/>
    <w:rsid w:val="00FD62F9"/>
    <w:rsid w:val="00FE0291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B68A"/>
  <w15:chartTrackingRefBased/>
  <w15:docId w15:val="{DB5D0C71-8894-4777-B99F-3C3E72C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text">
    <w:name w:val="small-text"/>
    <w:basedOn w:val="DefaultParagraphFont"/>
    <w:rsid w:val="0096452F"/>
  </w:style>
  <w:style w:type="character" w:styleId="Hyperlink">
    <w:name w:val="Hyperlink"/>
    <w:basedOn w:val="DefaultParagraphFont"/>
    <w:uiPriority w:val="99"/>
    <w:unhideWhenUsed/>
    <w:rsid w:val="004255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4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244"/>
  </w:style>
  <w:style w:type="paragraph" w:styleId="Footer">
    <w:name w:val="footer"/>
    <w:basedOn w:val="Normal"/>
    <w:link w:val="FooterChar"/>
    <w:uiPriority w:val="99"/>
    <w:unhideWhenUsed/>
    <w:rsid w:val="00986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244"/>
  </w:style>
  <w:style w:type="character" w:styleId="FollowedHyperlink">
    <w:name w:val="FollowedHyperlink"/>
    <w:basedOn w:val="DefaultParagraphFont"/>
    <w:uiPriority w:val="99"/>
    <w:semiHidden/>
    <w:unhideWhenUsed/>
    <w:rsid w:val="00471C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8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eve.lausd.net/lc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DA620C-B03C-C74A-B38F-6E8F17EC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Kenneth</dc:creator>
  <cp:keywords/>
  <dc:description/>
  <cp:lastModifiedBy>Martinez, Gloria M.</cp:lastModifiedBy>
  <cp:revision>25</cp:revision>
  <cp:lastPrinted>2021-03-13T00:41:00Z</cp:lastPrinted>
  <dcterms:created xsi:type="dcterms:W3CDTF">2021-03-17T22:51:00Z</dcterms:created>
  <dcterms:modified xsi:type="dcterms:W3CDTF">2021-03-18T20:51:00Z</dcterms:modified>
</cp:coreProperties>
</file>